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2998" w14:textId="311B1801" w:rsidR="001C7D3E" w:rsidRPr="00DD01E1" w:rsidRDefault="001C7D3E" w:rsidP="040138D7">
      <w:pPr>
        <w:jc w:val="center"/>
        <w:rPr>
          <w:b/>
          <w:bCs/>
          <w:sz w:val="32"/>
          <w:szCs w:val="32"/>
          <w:lang w:val="en-GB"/>
        </w:rPr>
      </w:pPr>
      <w:r w:rsidRPr="040138D7">
        <w:rPr>
          <w:b/>
          <w:bCs/>
          <w:sz w:val="32"/>
          <w:szCs w:val="32"/>
          <w:lang w:val="en-GB"/>
        </w:rPr>
        <w:t>Arçelik signs definitive agreement with Hitachi Global Life Solutions for the sale of its stake in Arçelik Hitachi Home Appliances (AHHA)</w:t>
      </w:r>
    </w:p>
    <w:p w14:paraId="799B8A53" w14:textId="6E08191E" w:rsidR="001C7D3E" w:rsidRPr="00DD01E1" w:rsidRDefault="0017799E" w:rsidP="19D6BB85">
      <w:pPr>
        <w:pStyle w:val="ListParagraph"/>
        <w:numPr>
          <w:ilvl w:val="0"/>
          <w:numId w:val="1"/>
        </w:numPr>
        <w:jc w:val="both"/>
      </w:pPr>
      <w:r w:rsidRPr="19D6BB85">
        <w:rPr>
          <w:b/>
          <w:bCs/>
          <w:lang w:val="en-US"/>
        </w:rPr>
        <w:t>Arçelik today</w:t>
      </w:r>
      <w:r w:rsidR="3651ED1D" w:rsidRPr="19D6BB85">
        <w:rPr>
          <w:b/>
          <w:bCs/>
          <w:lang w:val="en-US"/>
        </w:rPr>
        <w:t xml:space="preserve"> </w:t>
      </w:r>
      <w:r w:rsidR="001C7D3E" w:rsidRPr="19D6BB85">
        <w:rPr>
          <w:b/>
          <w:bCs/>
          <w:lang w:val="en-US"/>
        </w:rPr>
        <w:t>announced that it has signed a definitive agreement with Hitachi Global Life Solutions for the sale of its stake in Arçelik Hitachi Home Appliances (AHHA)</w:t>
      </w:r>
    </w:p>
    <w:p w14:paraId="09D46856" w14:textId="15E20B91" w:rsidR="00D93803" w:rsidRDefault="00D93803" w:rsidP="19D6BB85">
      <w:pPr>
        <w:pStyle w:val="ListParagraph"/>
        <w:numPr>
          <w:ilvl w:val="0"/>
          <w:numId w:val="1"/>
        </w:numPr>
        <w:jc w:val="both"/>
        <w:rPr>
          <w:b/>
          <w:bCs/>
        </w:rPr>
      </w:pPr>
      <w:r w:rsidRPr="00D93803">
        <w:rPr>
          <w:b/>
          <w:bCs/>
        </w:rPr>
        <w:t xml:space="preserve">Transaction consideration consists of USD 205 million in cash to be paid at </w:t>
      </w:r>
      <w:r>
        <w:rPr>
          <w:b/>
          <w:bCs/>
        </w:rPr>
        <w:t>c</w:t>
      </w:r>
      <w:r w:rsidRPr="00D93803">
        <w:rPr>
          <w:b/>
          <w:bCs/>
        </w:rPr>
        <w:t>losing, and additionally, a USD 56 million deferred payment will be paid over three years</w:t>
      </w:r>
      <w:r w:rsidR="009B0796">
        <w:rPr>
          <w:b/>
          <w:bCs/>
        </w:rPr>
        <w:t xml:space="preserve"> following closing. </w:t>
      </w:r>
    </w:p>
    <w:p w14:paraId="286B8A9D" w14:textId="46FC7424" w:rsidR="00726E91" w:rsidRPr="00726E91" w:rsidRDefault="00726E91" w:rsidP="19D6BB85">
      <w:pPr>
        <w:pStyle w:val="ListParagraph"/>
        <w:numPr>
          <w:ilvl w:val="0"/>
          <w:numId w:val="1"/>
        </w:numPr>
        <w:jc w:val="both"/>
        <w:rPr>
          <w:b/>
          <w:bCs/>
        </w:rPr>
      </w:pPr>
      <w:r w:rsidRPr="00726E91">
        <w:rPr>
          <w:b/>
          <w:bCs/>
        </w:rPr>
        <w:t>In addition, as of the closing date, 60% of Arçelik Hitachi’s existing cash exceeding USD 56</w:t>
      </w:r>
      <w:r w:rsidR="002C423C">
        <w:rPr>
          <w:b/>
          <w:bCs/>
        </w:rPr>
        <w:t xml:space="preserve"> million</w:t>
      </w:r>
      <w:r w:rsidRPr="00726E91">
        <w:rPr>
          <w:b/>
          <w:bCs/>
        </w:rPr>
        <w:t xml:space="preserve"> will be added to the total consideration as a closing adjustment.</w:t>
      </w:r>
    </w:p>
    <w:p w14:paraId="00C87580" w14:textId="55A4A570" w:rsidR="001C7D3E" w:rsidRPr="00DD01E1" w:rsidRDefault="001C7D3E" w:rsidP="19D6BB85">
      <w:pPr>
        <w:pStyle w:val="ListParagraph"/>
        <w:numPr>
          <w:ilvl w:val="0"/>
          <w:numId w:val="1"/>
        </w:numPr>
        <w:jc w:val="both"/>
      </w:pPr>
      <w:r w:rsidRPr="19D6BB85">
        <w:rPr>
          <w:b/>
          <w:bCs/>
          <w:lang w:val="en-US"/>
        </w:rPr>
        <w:t>This strategic move by Arçelik</w:t>
      </w:r>
      <w:r w:rsidR="7D6AC601" w:rsidRPr="19D6BB85">
        <w:rPr>
          <w:b/>
          <w:bCs/>
          <w:lang w:val="en-US"/>
        </w:rPr>
        <w:t xml:space="preserve"> </w:t>
      </w:r>
      <w:r w:rsidRPr="19D6BB85">
        <w:rPr>
          <w:b/>
          <w:bCs/>
          <w:lang w:val="en-US"/>
        </w:rPr>
        <w:t>marks a significant step in the company’s ongoing portfolio optimization and refocus on core markets and long-term value creation</w:t>
      </w:r>
    </w:p>
    <w:p w14:paraId="66C0EC49" w14:textId="45C1CD0A" w:rsidR="001C7D3E" w:rsidRPr="001C7D3E" w:rsidRDefault="001C7D3E" w:rsidP="001C7D3E">
      <w:pPr>
        <w:jc w:val="both"/>
      </w:pPr>
      <w:r w:rsidRPr="001C7D3E">
        <w:rPr>
          <w:b/>
          <w:bCs/>
        </w:rPr>
        <w:t>(Istanbul, xx.xx.2026)</w:t>
      </w:r>
      <w:r w:rsidRPr="001C7D3E">
        <w:t xml:space="preserve"> Arçelik announces the signing of a definitive agreement with Hitachi Global Life Solutions for the divestment of its stake in Arçelik Hitachi Home Appliances (AHHA). Established in 2021 as a joint venture, AHHA manufactures, sells and provides after-sales services for Hitachi-branded home appliances across global markets outside Japan. Arçelik holds a 60% stake in the company, while Hitachi Global Life Solutions retains a 40% shareholding. </w:t>
      </w:r>
    </w:p>
    <w:p w14:paraId="020804E0" w14:textId="5F6CA062" w:rsidR="002939CA" w:rsidRDefault="004E760C" w:rsidP="7B433401">
      <w:pPr>
        <w:jc w:val="both"/>
        <w:rPr>
          <w:lang w:val="en-US"/>
        </w:rPr>
      </w:pPr>
      <w:r w:rsidRPr="004E760C">
        <w:rPr>
          <w:lang w:val="en-US"/>
        </w:rPr>
        <w:t>The total transaction consideration consists of USD 205</w:t>
      </w:r>
      <w:r w:rsidR="002939CA">
        <w:rPr>
          <w:lang w:val="en-US"/>
        </w:rPr>
        <w:t xml:space="preserve"> million</w:t>
      </w:r>
      <w:r w:rsidRPr="004E760C">
        <w:rPr>
          <w:lang w:val="en-US"/>
        </w:rPr>
        <w:t xml:space="preserve"> to be received in cash at closing, and deferred payments </w:t>
      </w:r>
      <w:r w:rsidR="002939CA" w:rsidRPr="004E760C">
        <w:rPr>
          <w:lang w:val="en-US"/>
        </w:rPr>
        <w:t>totaling</w:t>
      </w:r>
      <w:r w:rsidRPr="004E760C">
        <w:rPr>
          <w:lang w:val="en-US"/>
        </w:rPr>
        <w:t xml:space="preserve"> USD 56</w:t>
      </w:r>
      <w:r w:rsidR="002939CA">
        <w:rPr>
          <w:lang w:val="en-US"/>
        </w:rPr>
        <w:t xml:space="preserve"> million </w:t>
      </w:r>
      <w:r w:rsidRPr="004E760C">
        <w:rPr>
          <w:lang w:val="en-US"/>
        </w:rPr>
        <w:t>to be received in instalments over a three-year period following the closing. In addition, as of the closing date, 60% of Arçelik Hitachi’s existing cash exceeding USD 56</w:t>
      </w:r>
      <w:r w:rsidR="002939CA">
        <w:rPr>
          <w:lang w:val="en-US"/>
        </w:rPr>
        <w:t xml:space="preserve"> million</w:t>
      </w:r>
      <w:r w:rsidRPr="004E760C">
        <w:rPr>
          <w:lang w:val="en-US"/>
        </w:rPr>
        <w:t xml:space="preserve"> will be added to the total consideration as a closing adjustment.</w:t>
      </w:r>
    </w:p>
    <w:p w14:paraId="5D1D1F8D" w14:textId="2AD68062" w:rsidR="14C98E6C" w:rsidRDefault="14C98E6C" w:rsidP="7B433401">
      <w:pPr>
        <w:jc w:val="both"/>
      </w:pPr>
      <w:r w:rsidRPr="7B433401">
        <w:rPr>
          <w:rFonts w:ascii="Aptos" w:eastAsia="Aptos" w:hAnsi="Aptos" w:cs="Aptos"/>
        </w:rPr>
        <w:t xml:space="preserve">Emphasizing that this decision is a strategic move that goes beyond short-term gains, supporting financial resilience and long-term value creation, </w:t>
      </w:r>
      <w:r w:rsidRPr="00961096">
        <w:rPr>
          <w:rFonts w:ascii="Aptos" w:eastAsia="Aptos" w:hAnsi="Aptos" w:cs="Aptos"/>
          <w:b/>
          <w:bCs/>
        </w:rPr>
        <w:t>Koç Holding Consumer Durables Group President Polat Şen</w:t>
      </w:r>
      <w:r w:rsidRPr="7B433401">
        <w:rPr>
          <w:rFonts w:ascii="Aptos" w:eastAsia="Aptos" w:hAnsi="Aptos" w:cs="Aptos"/>
        </w:rPr>
        <w:t xml:space="preserve"> said: </w:t>
      </w:r>
      <w:r w:rsidR="03BF9CB4" w:rsidRPr="2B0F23EB">
        <w:rPr>
          <w:rFonts w:ascii="Aptos" w:eastAsia="Aptos" w:hAnsi="Aptos" w:cs="Aptos"/>
        </w:rPr>
        <w:t>“</w:t>
      </w:r>
      <w:r w:rsidR="03BF9CB4" w:rsidRPr="5C3A9BAC">
        <w:rPr>
          <w:rFonts w:ascii="Aptos" w:eastAsia="Aptos" w:hAnsi="Aptos" w:cs="Aptos"/>
        </w:rPr>
        <w:t xml:space="preserve">Championing </w:t>
      </w:r>
      <w:r w:rsidRPr="5C3A9BAC">
        <w:rPr>
          <w:rFonts w:ascii="Aptos" w:eastAsia="Aptos" w:hAnsi="Aptos" w:cs="Aptos"/>
        </w:rPr>
        <w:t>a</w:t>
      </w:r>
      <w:r w:rsidRPr="7B433401">
        <w:rPr>
          <w:rFonts w:ascii="Aptos" w:eastAsia="Aptos" w:hAnsi="Aptos" w:cs="Aptos"/>
        </w:rPr>
        <w:t xml:space="preserve"> global footprint across 57 countries and a manufacturing network of 38 facilities in 13 countries, Arçelik will continue its global growth journey with determination. As a flagship company for our Group on a global scale, we believe this step will enable Arçelik to allocate its resources to priority areas and deliver positive outcomes for all our stakeholders in line with its sustainable growth objectives</w:t>
      </w:r>
      <w:r w:rsidRPr="2D8455B6">
        <w:rPr>
          <w:rFonts w:ascii="Aptos" w:eastAsia="Aptos" w:hAnsi="Aptos" w:cs="Aptos"/>
        </w:rPr>
        <w:t>.</w:t>
      </w:r>
      <w:r w:rsidR="254CA40A" w:rsidRPr="2D8455B6">
        <w:rPr>
          <w:rFonts w:ascii="Aptos" w:eastAsia="Aptos" w:hAnsi="Aptos" w:cs="Aptos"/>
        </w:rPr>
        <w:t>”</w:t>
      </w:r>
      <w:r w:rsidRPr="7B433401">
        <w:rPr>
          <w:rFonts w:ascii="Aptos" w:eastAsia="Aptos" w:hAnsi="Aptos" w:cs="Aptos"/>
        </w:rPr>
        <w:t xml:space="preserve">  </w:t>
      </w:r>
    </w:p>
    <w:p w14:paraId="6C083274" w14:textId="27A464B7" w:rsidR="4BAEBD1E" w:rsidRDefault="576E6617" w:rsidP="4BAEBD1E">
      <w:pPr>
        <w:jc w:val="both"/>
      </w:pPr>
      <w:r>
        <w:t xml:space="preserve">Since its inception, AHHA has delivered steady progress across its strategic priorities, including portfolio expansion, geographic growth, brand development and operational </w:t>
      </w:r>
      <w:r>
        <w:lastRenderedPageBreak/>
        <w:t>performance, and further strengthened Hitachi’s premium brand position across Asia Pacific and MENA.</w:t>
      </w:r>
    </w:p>
    <w:p w14:paraId="4DC1ED64" w14:textId="6A507B4B" w:rsidR="002C2DD9" w:rsidRPr="00BF5224" w:rsidRDefault="001C7D3E" w:rsidP="002C2DD9">
      <w:pPr>
        <w:jc w:val="both"/>
      </w:pPr>
      <w:r w:rsidRPr="30B4B0B0">
        <w:rPr>
          <w:b/>
          <w:bCs/>
          <w:lang w:val="en-US"/>
        </w:rPr>
        <w:t>Can Dinçer, Chief Executive Officer of Arçelik,</w:t>
      </w:r>
      <w:r w:rsidRPr="30B4B0B0">
        <w:rPr>
          <w:lang w:val="en-US"/>
        </w:rPr>
        <w:t xml:space="preserve"> commented: </w:t>
      </w:r>
      <w:r w:rsidR="7A0CC63D" w:rsidRPr="30B4B0B0">
        <w:rPr>
          <w:lang w:val="en-US"/>
        </w:rPr>
        <w:t>“Arçelik Hitachi has established a strong position in the Asia-Pacific market over the years with its premium brand and innovative solutions</w:t>
      </w:r>
      <w:r w:rsidR="00BA1DD8">
        <w:rPr>
          <w:lang w:val="en-US"/>
        </w:rPr>
        <w:t>.</w:t>
      </w:r>
      <w:r w:rsidR="7A0CC63D" w:rsidRPr="30B4B0B0">
        <w:rPr>
          <w:lang w:val="en-US"/>
        </w:rPr>
        <w:t xml:space="preserve"> We are pleased to have provided products that add real value to households through this </w:t>
      </w:r>
      <w:proofErr w:type="gramStart"/>
      <w:r w:rsidR="00CC667A" w:rsidRPr="30B4B0B0">
        <w:rPr>
          <w:lang w:val="en-US"/>
        </w:rPr>
        <w:t>collaboration</w:t>
      </w:r>
      <w:r w:rsidR="001E51EC">
        <w:rPr>
          <w:lang w:val="en-US"/>
        </w:rPr>
        <w:t>”</w:t>
      </w:r>
      <w:r w:rsidR="00FB18D4">
        <w:rPr>
          <w:lang w:val="en-US"/>
        </w:rPr>
        <w:t>.</w:t>
      </w:r>
      <w:proofErr w:type="gramEnd"/>
    </w:p>
    <w:p w14:paraId="17E00C3F" w14:textId="5EAD1552" w:rsidR="002C2DD9" w:rsidRDefault="6835F490" w:rsidP="001C7D3E">
      <w:pPr>
        <w:jc w:val="both"/>
      </w:pPr>
      <w:r w:rsidRPr="356E5F3B">
        <w:rPr>
          <w:lang w:val="en-US"/>
        </w:rPr>
        <w:t>“</w:t>
      </w:r>
      <w:r w:rsidR="14B168C2" w:rsidRPr="7A5C1235">
        <w:rPr>
          <w:lang w:val="en-US"/>
        </w:rPr>
        <w:t>This move</w:t>
      </w:r>
      <w:r w:rsidR="00E244CD">
        <w:rPr>
          <w:lang w:val="en-US"/>
        </w:rPr>
        <w:t xml:space="preserve"> </w:t>
      </w:r>
      <w:r w:rsidR="14B168C2" w:rsidRPr="7A5C1235">
        <w:rPr>
          <w:lang w:val="en-US"/>
        </w:rPr>
        <w:t xml:space="preserve">reflects our approach as Arçelik to shaping our global operations within a more focused, selective, and strategic framework. This step is specific to </w:t>
      </w:r>
      <w:r w:rsidR="14B168C2" w:rsidRPr="36257E7E">
        <w:rPr>
          <w:lang w:val="en-US"/>
        </w:rPr>
        <w:t>th</w:t>
      </w:r>
      <w:r w:rsidR="09077F75" w:rsidRPr="36257E7E">
        <w:rPr>
          <w:lang w:val="en-US"/>
        </w:rPr>
        <w:t xml:space="preserve">e </w:t>
      </w:r>
      <w:r w:rsidR="09077F75" w:rsidRPr="6C9FF8EA">
        <w:rPr>
          <w:lang w:val="en-US"/>
        </w:rPr>
        <w:t xml:space="preserve">structure of </w:t>
      </w:r>
      <w:r w:rsidR="09077F75" w:rsidRPr="24B0FD15">
        <w:rPr>
          <w:lang w:val="en-US"/>
        </w:rPr>
        <w:t xml:space="preserve">this </w:t>
      </w:r>
      <w:r w:rsidR="09077F75" w:rsidRPr="3768253C">
        <w:rPr>
          <w:lang w:val="en-US"/>
        </w:rPr>
        <w:t xml:space="preserve">partnership </w:t>
      </w:r>
      <w:r w:rsidR="14B168C2" w:rsidRPr="7A5C1235">
        <w:rPr>
          <w:lang w:val="en-US"/>
        </w:rPr>
        <w:t>and does not alter our long-term commitment to</w:t>
      </w:r>
      <w:r w:rsidR="0000271E">
        <w:rPr>
          <w:lang w:val="en-US"/>
        </w:rPr>
        <w:t xml:space="preserve"> </w:t>
      </w:r>
      <w:r w:rsidR="00167DBC">
        <w:rPr>
          <w:lang w:val="en-US"/>
        </w:rPr>
        <w:t>As</w:t>
      </w:r>
      <w:r w:rsidR="006C6F8B">
        <w:rPr>
          <w:lang w:val="en-US"/>
        </w:rPr>
        <w:t>ia</w:t>
      </w:r>
      <w:r w:rsidR="14B168C2" w:rsidRPr="7A5C1235">
        <w:rPr>
          <w:lang w:val="en-US"/>
        </w:rPr>
        <w:t xml:space="preserve">. </w:t>
      </w:r>
      <w:r w:rsidR="14B168C2" w:rsidRPr="43F7B7EB">
        <w:rPr>
          <w:lang w:val="en-US"/>
        </w:rPr>
        <w:t xml:space="preserve">We </w:t>
      </w:r>
      <w:r w:rsidR="11392BDC" w:rsidRPr="43F7B7EB">
        <w:rPr>
          <w:lang w:val="en-US"/>
        </w:rPr>
        <w:t>re</w:t>
      </w:r>
      <w:r w:rsidR="14B168C2" w:rsidRPr="43F7B7EB">
        <w:rPr>
          <w:lang w:val="en-US"/>
        </w:rPr>
        <w:t>main</w:t>
      </w:r>
      <w:r w:rsidR="14B168C2" w:rsidRPr="7A5C1235">
        <w:rPr>
          <w:lang w:val="en-US"/>
        </w:rPr>
        <w:t xml:space="preserve"> </w:t>
      </w:r>
      <w:r w:rsidR="14B168C2" w:rsidRPr="236FB58B">
        <w:rPr>
          <w:lang w:val="en-US"/>
        </w:rPr>
        <w:t>confiden</w:t>
      </w:r>
      <w:r w:rsidR="2751577E" w:rsidRPr="236FB58B">
        <w:rPr>
          <w:lang w:val="en-US"/>
        </w:rPr>
        <w:t>t</w:t>
      </w:r>
      <w:r w:rsidR="2751577E" w:rsidRPr="68E76E07">
        <w:rPr>
          <w:lang w:val="en-US"/>
        </w:rPr>
        <w:t xml:space="preserve"> in</w:t>
      </w:r>
      <w:r w:rsidR="14B168C2" w:rsidRPr="7A5C1235">
        <w:rPr>
          <w:lang w:val="en-US"/>
        </w:rPr>
        <w:t xml:space="preserve"> the region's growth potential and continue </w:t>
      </w:r>
      <w:r w:rsidR="14F360AE" w:rsidRPr="13FD814C">
        <w:rPr>
          <w:lang w:val="en-US"/>
        </w:rPr>
        <w:t>to</w:t>
      </w:r>
      <w:r w:rsidR="14B168C2" w:rsidRPr="7A5C1235">
        <w:rPr>
          <w:lang w:val="en-US"/>
        </w:rPr>
        <w:t xml:space="preserve"> </w:t>
      </w:r>
      <w:r w:rsidR="14B168C2" w:rsidRPr="465C462B">
        <w:rPr>
          <w:lang w:val="en-US"/>
        </w:rPr>
        <w:t>invest</w:t>
      </w:r>
      <w:r w:rsidR="0412D3B7" w:rsidRPr="465C462B">
        <w:rPr>
          <w:lang w:val="en-US"/>
        </w:rPr>
        <w:t xml:space="preserve"> </w:t>
      </w:r>
      <w:r w:rsidR="0412D3B7" w:rsidRPr="7250E2D2">
        <w:rPr>
          <w:lang w:val="en-US"/>
        </w:rPr>
        <w:t xml:space="preserve">in </w:t>
      </w:r>
      <w:r w:rsidR="14B168C2" w:rsidRPr="7A5C1235">
        <w:rPr>
          <w:lang w:val="en-US"/>
        </w:rPr>
        <w:t>key markets</w:t>
      </w:r>
      <w:r w:rsidR="4E91EE65" w:rsidRPr="5C1152A4">
        <w:rPr>
          <w:lang w:val="en-US"/>
        </w:rPr>
        <w:t xml:space="preserve"> </w:t>
      </w:r>
      <w:r w:rsidR="4E91EE65" w:rsidRPr="511AF6DE">
        <w:rPr>
          <w:lang w:val="en-US"/>
        </w:rPr>
        <w:t>including</w:t>
      </w:r>
      <w:r w:rsidR="14B168C2" w:rsidRPr="7A5C1235">
        <w:rPr>
          <w:lang w:val="en-US"/>
        </w:rPr>
        <w:t xml:space="preserve"> India, Pakistan, and Bangladesh.</w:t>
      </w:r>
      <w:r w:rsidR="7781D94C" w:rsidRPr="6C4A82CB">
        <w:rPr>
          <w:lang w:val="en-US"/>
        </w:rPr>
        <w:t xml:space="preserve"> </w:t>
      </w:r>
      <w:r w:rsidR="14B168C2" w:rsidRPr="7A5C1235">
        <w:rPr>
          <w:lang w:val="en-US"/>
        </w:rPr>
        <w:t>Arçelik has very strong foundations in Türkiye, and we are working with determination to achieve our goals in our home market, from which we derive our strength. We will continue to reach our consumers with innovative products and services, and to improve their lives through energy efficiency, digitalization, and AI-driven technologies</w:t>
      </w:r>
      <w:r w:rsidR="42C7D48A" w:rsidRPr="1991BC3C">
        <w:rPr>
          <w:lang w:val="en-US"/>
        </w:rPr>
        <w:t>”</w:t>
      </w:r>
      <w:r w:rsidR="42C7D48A" w:rsidRPr="4D0A2EC9">
        <w:rPr>
          <w:lang w:val="en-US"/>
        </w:rPr>
        <w:t xml:space="preserve"> </w:t>
      </w:r>
      <w:r w:rsidR="002C2DD9" w:rsidRPr="11DE3875">
        <w:rPr>
          <w:b/>
          <w:bCs/>
        </w:rPr>
        <w:t xml:space="preserve">Dinçer </w:t>
      </w:r>
      <w:r w:rsidR="002C2DD9">
        <w:t>also s</w:t>
      </w:r>
      <w:r w:rsidR="7FFA5688">
        <w:t>tated.</w:t>
      </w:r>
    </w:p>
    <w:p w14:paraId="693E5C33" w14:textId="58E72D6E" w:rsidR="001C7D3E" w:rsidRDefault="001C7D3E" w:rsidP="001C7D3E">
      <w:pPr>
        <w:jc w:val="both"/>
      </w:pPr>
      <w:r w:rsidRPr="001C7D3E">
        <w:t xml:space="preserve">The agreement is subject to customary closing conditions, including applicable regulatory approvals.  Until closing, AHHA will continue its operations in compliance with the provisions of the share purchase and the joint venture agreements. The completion of the transaction is expected to take place within 12 months following the execution of the agreement.  </w:t>
      </w:r>
    </w:p>
    <w:p w14:paraId="2AF6CDB5" w14:textId="11D34135" w:rsidR="001C7D3E" w:rsidRDefault="001C7D3E"/>
    <w:sectPr w:rsidR="001C7D3E">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1852" w14:textId="77777777" w:rsidR="009C6B9F" w:rsidRDefault="009C6B9F" w:rsidP="001C7D3E">
      <w:pPr>
        <w:spacing w:after="0" w:line="240" w:lineRule="auto"/>
      </w:pPr>
      <w:r>
        <w:separator/>
      </w:r>
    </w:p>
  </w:endnote>
  <w:endnote w:type="continuationSeparator" w:id="0">
    <w:p w14:paraId="7082FDBE" w14:textId="77777777" w:rsidR="009C6B9F" w:rsidRDefault="009C6B9F" w:rsidP="001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53C6" w14:textId="4E044ECB" w:rsidR="001C7D3E" w:rsidRDefault="001C7D3E">
    <w:pPr>
      <w:pStyle w:val="Footer"/>
    </w:pPr>
    <w:r>
      <w:rPr>
        <w:noProof/>
      </w:rPr>
      <mc:AlternateContent>
        <mc:Choice Requires="wps">
          <w:drawing>
            <wp:anchor distT="0" distB="0" distL="0" distR="0" simplePos="0" relativeHeight="251658241" behindDoc="0" locked="0" layoutInCell="1" allowOverlap="1" wp14:anchorId="164F9585" wp14:editId="3610BDC1">
              <wp:simplePos x="635" y="635"/>
              <wp:positionH relativeFrom="page">
                <wp:align>right</wp:align>
              </wp:positionH>
              <wp:positionV relativeFrom="page">
                <wp:align>bottom</wp:align>
              </wp:positionV>
              <wp:extent cx="2315210" cy="370205"/>
              <wp:effectExtent l="0" t="0" r="0" b="0"/>
              <wp:wrapNone/>
              <wp:docPr id="1406310725" name="Text Box 2" descr="Sensitivity: Internal / Non-Personal Data">
                <a:extLst xmlns:a="http://schemas.openxmlformats.org/drawingml/2006/main">
                  <a:ext uri="{FF2B5EF4-FFF2-40B4-BE49-F238E27FC236}">
                    <a16:creationId xmlns:a16="http://schemas.microsoft.com/office/drawing/2014/main" id="{B274A956-C0B0-4324-928C-0E8CF74E3D9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70205"/>
                      </a:xfrm>
                      <a:prstGeom prst="rect">
                        <a:avLst/>
                      </a:prstGeom>
                      <a:noFill/>
                      <a:ln>
                        <a:noFill/>
                      </a:ln>
                    </wps:spPr>
                    <wps:txbx>
                      <w:txbxContent>
                        <w:p w14:paraId="30C5151B" w14:textId="13C78946"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4F9585" id="_x0000_t202" coordsize="21600,21600" o:spt="202" path="m,l,21600r21600,l21600,xe">
              <v:stroke joinstyle="miter"/>
              <v:path gradientshapeok="t" o:connecttype="rect"/>
            </v:shapetype>
            <v:shape id="Text Box 2" o:spid="_x0000_s1026" type="#_x0000_t202" alt="Sensitivity: Internal / Non-Personal Data" style="position:absolute;margin-left:131.1pt;margin-top:0;width:182.3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aDwIAABsEAAAOAAAAZHJzL2Uyb0RvYy54bWysU01v2zAMvQ/YfxB0X/zRZR9GnCJrkWFA&#10;0BZIh54VWYoNSKIgKbGzXz9KdpKt22nYRaZI+pF8fFrcDlqRo3C+A1PTYpZTIgyHpjP7mn5/Xr/7&#10;RIkPzDRMgRE1PQlPb5dv3yx6W4kSWlCNcARBjK96W9M2BFtlmeet0MzPwAqDQQlOs4BXt88ax3pE&#10;1yor8/xD1oNrrAMuvEfv/Riky4QvpeDhUUovAlE1xd5COl06d/HMlgtW7R2zbcenNtg/dKFZZ7Do&#10;BeqeBUYOrvsDSnfcgQcZZhx0BlJ2XKQZcJoifzXNtmVWpFmQHG8vNPn/B8sfjlv75EgYvsCAC4yE&#10;9NZXHp1xnkE6Hb/YKcE4Uni60CaGQDg6y5tiXhYY4hi7+ZiX+TzCZNe/rfPhqwBNolFTh2tJbLHj&#10;xocx9ZwSixlYd0ql1SjzmwMxoye7thitMOyGqe8dNCccx8G4aW/5usOaG+bDE3O4WmwT5Roe8ZAK&#10;+prCZFHSgvvxN3/MR8YxSkmPUqmpQS1Tor4Z3ERU1dlwySjn7/Mc3bt0Kz7n83gzB30HqMICH4Tl&#10;yUSvC+psSgf6BdW8itUwxAzHmjXdnc27MAoXXwMXq1VKQhVZFjZma3mEjmRFJp+HF+bsRHfART3A&#10;WUysesX6mBv/9HZ1CMh9WkkkdmRz4hsVmJY6vZYo8V/vKev6ppc/AQAA//8DAFBLAwQUAAYACAAA&#10;ACEAsHvARt0AAAAEAQAADwAAAGRycy9kb3ducmV2LnhtbEyPUUvDMBSF3wX/Q7iCL+LSuS2M2nTM&#10;gQ+CDNxEX9Pm2pYlNyXJuu7fm/kyXy4czuGc7xar0Ro2oA+dIwnTSQYMqXa6o0bC5/71cQksREVa&#10;GUco4YwBVuXtTaFy7U70gcMuNiyVUMiVhDbGPuc81C1aFSauR0rej/NWxSR9w7VXp1RuDX/KMsGt&#10;6igttKrHTYv1YXe0El4ewlf1fvDnt+3cie9hI0y/FVLe343rZ2ARx3gNwwU/oUOZmCp3JB2YkZAe&#10;iX83eTMxF8AqCYvlDHhZ8P/w5S8AAAD//wMAUEsBAi0AFAAGAAgAAAAhALaDOJL+AAAA4QEAABMA&#10;AAAAAAAAAAAAAAAAAAAAAFtDb250ZW50X1R5cGVzXS54bWxQSwECLQAUAAYACAAAACEAOP0h/9YA&#10;AACUAQAACwAAAAAAAAAAAAAAAAAvAQAAX3JlbHMvLnJlbHNQSwECLQAUAAYACAAAACEAjbx/2g8C&#10;AAAbBAAADgAAAAAAAAAAAAAAAAAuAgAAZHJzL2Uyb0RvYy54bWxQSwECLQAUAAYACAAAACEAsHvA&#10;Rt0AAAAEAQAADwAAAAAAAAAAAAAAAABpBAAAZHJzL2Rvd25yZXYueG1sUEsFBgAAAAAEAAQA8wAA&#10;AHMFAAAAAA==&#10;" filled="f" stroked="f">
              <v:textbox style="mso-fit-shape-to-text:t" inset="0,0,20pt,15pt">
                <w:txbxContent>
                  <w:p w14:paraId="30C5151B" w14:textId="13C78946"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0746" w14:textId="7D2CC51D" w:rsidR="001C7D3E" w:rsidRDefault="001C7D3E">
    <w:pPr>
      <w:pStyle w:val="Footer"/>
    </w:pPr>
    <w:r>
      <w:rPr>
        <w:noProof/>
      </w:rPr>
      <mc:AlternateContent>
        <mc:Choice Requires="wps">
          <w:drawing>
            <wp:anchor distT="0" distB="0" distL="0" distR="0" simplePos="0" relativeHeight="251658242" behindDoc="0" locked="0" layoutInCell="1" allowOverlap="1" wp14:anchorId="3992DB47" wp14:editId="0614AF3A">
              <wp:simplePos x="897622" y="10058400"/>
              <wp:positionH relativeFrom="page">
                <wp:align>right</wp:align>
              </wp:positionH>
              <wp:positionV relativeFrom="page">
                <wp:align>bottom</wp:align>
              </wp:positionV>
              <wp:extent cx="2315210" cy="370205"/>
              <wp:effectExtent l="0" t="0" r="0" b="0"/>
              <wp:wrapNone/>
              <wp:docPr id="2146701809" name="Text Box 3" descr="Sensitivity: Internal / Non-Personal Data">
                <a:extLst xmlns:a="http://schemas.openxmlformats.org/drawingml/2006/main">
                  <a:ext uri="{FF2B5EF4-FFF2-40B4-BE49-F238E27FC236}">
                    <a16:creationId xmlns:a16="http://schemas.microsoft.com/office/drawing/2014/main" id="{AED5A3D4-AF07-46E2-990E-60D25B772FF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70205"/>
                      </a:xfrm>
                      <a:prstGeom prst="rect">
                        <a:avLst/>
                      </a:prstGeom>
                      <a:noFill/>
                      <a:ln>
                        <a:noFill/>
                      </a:ln>
                    </wps:spPr>
                    <wps:txbx>
                      <w:txbxContent>
                        <w:p w14:paraId="1F72D0F1" w14:textId="12C66F44"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992DB47" id="_x0000_t202" coordsize="21600,21600" o:spt="202" path="m,l,21600r21600,l21600,xe">
              <v:stroke joinstyle="miter"/>
              <v:path gradientshapeok="t" o:connecttype="rect"/>
            </v:shapetype>
            <v:shape id="Text Box 3" o:spid="_x0000_s1027" type="#_x0000_t202" alt="Sensitivity: Internal / Non-Personal Data" style="position:absolute;margin-left:131.1pt;margin-top:0;width:182.3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D1EQIAACIEAAAOAAAAZHJzL2Uyb0RvYy54bWysU8lu2zAQvRfoPxC811pSt6lgOXATuChg&#10;JAGcImeaIi0BJIcgaUvu13dIeUnTnoJcqOHMaJb3Hmc3g1ZkL5zvwNS0mOSUCMOh6cy2pr+elp+u&#10;KfGBmYYpMKKmB+Hpzfzjh1lvK1FCC6oRjmAR46ve1rQNwVZZ5nkrNPMTsMJgUILTLODVbbPGsR6r&#10;a5WVef4l68E11gEX3qP3bgzSeaovpeDhQUovAlE1xdlCOl06N/HM5jNWbR2zbcePY7A3TKFZZ7Dp&#10;udQdC4zsXPdPKd1xBx5kmHDQGUjZcZF2wG2K/NU265ZZkXZBcLw9w+Tfryy/36/toyNh+A4DEhgB&#10;6a2vPDrjPoN0On5xUoJxhPBwhk0MgXB0llfFtCwwxDF29TUv82ksk13+ts6HHwI0iUZNHdKS0GL7&#10;lQ9j6iklNjOw7JRK1CjzlwNrRk92GTFaYdgMpGtejL+B5oBbORgJ95YvO2y9Yj48MocM47So2vCA&#10;h1TQ1xSOFiUtuN//88d8BB6jlPSomJoalDQl6qdBQqK4ToZLRjn9nOfo3qRb8S2fxpvZ6VtAMRb4&#10;LixPJnpdUCdTOtDPKOpF7IYhZjj2rOnmZN6GUb/4KLhYLFISismysDJry2PpiFkE9Gl4Zs4eUQ/I&#10;1z2cNMWqV+CPufFPbxe7gBQkZiK+I5pH2FGIidvjo4lKf3lPWZenPf8DAAD//wMAUEsDBBQABgAI&#10;AAAAIQCwe8BG3QAAAAQBAAAPAAAAZHJzL2Rvd25yZXYueG1sTI9RS8MwFIXfBf9DuIIv4tK5LYza&#10;dMyBD4IM3ERf0+baliU3Jcm67t+b+TJfLhzO4ZzvFqvRGjagD50jCdNJBgypdrqjRsLn/vVxCSxE&#10;RVoZRyjhjAFW5e1NoXLtTvSBwy42LJVQyJWENsY+5zzULVoVJq5HSt6P81bFJH3DtVenVG4Nf8oy&#10;wa3qKC20qsdNi/Vhd7QSXh7CV/V+8Oe37dyJ72EjTL8VUt7fjetnYBHHeA3DBT+hQ5mYKnckHZiR&#10;kB6Jfzd5MzEXwCoJi+UMeFnw//DlLwAAAP//AwBQSwECLQAUAAYACAAAACEAtoM4kv4AAADhAQAA&#10;EwAAAAAAAAAAAAAAAAAAAAAAW0NvbnRlbnRfVHlwZXNdLnhtbFBLAQItABQABgAIAAAAIQA4/SH/&#10;1gAAAJQBAAALAAAAAAAAAAAAAAAAAC8BAABfcmVscy8ucmVsc1BLAQItABQABgAIAAAAIQBofED1&#10;EQIAACIEAAAOAAAAAAAAAAAAAAAAAC4CAABkcnMvZTJvRG9jLnhtbFBLAQItABQABgAIAAAAIQCw&#10;e8BG3QAAAAQBAAAPAAAAAAAAAAAAAAAAAGsEAABkcnMvZG93bnJldi54bWxQSwUGAAAAAAQABADz&#10;AAAAdQUAAAAA&#10;" filled="f" stroked="f">
              <v:textbox style="mso-fit-shape-to-text:t" inset="0,0,20pt,15pt">
                <w:txbxContent>
                  <w:p w14:paraId="1F72D0F1" w14:textId="12C66F44"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9CDF" w14:textId="1723B2B5" w:rsidR="001C7D3E" w:rsidRDefault="001C7D3E">
    <w:pPr>
      <w:pStyle w:val="Footer"/>
    </w:pPr>
    <w:r>
      <w:rPr>
        <w:noProof/>
      </w:rPr>
      <mc:AlternateContent>
        <mc:Choice Requires="wps">
          <w:drawing>
            <wp:anchor distT="0" distB="0" distL="0" distR="0" simplePos="0" relativeHeight="251658240" behindDoc="0" locked="0" layoutInCell="1" allowOverlap="1" wp14:anchorId="4F8B9009" wp14:editId="40FC3040">
              <wp:simplePos x="635" y="635"/>
              <wp:positionH relativeFrom="page">
                <wp:align>right</wp:align>
              </wp:positionH>
              <wp:positionV relativeFrom="page">
                <wp:align>bottom</wp:align>
              </wp:positionV>
              <wp:extent cx="2315210" cy="370205"/>
              <wp:effectExtent l="0" t="0" r="0" b="0"/>
              <wp:wrapNone/>
              <wp:docPr id="1453454109" name="Text Box 1" descr="Sensitivity: Internal / Non-Personal Data">
                <a:extLst xmlns:a="http://schemas.openxmlformats.org/drawingml/2006/main">
                  <a:ext uri="{FF2B5EF4-FFF2-40B4-BE49-F238E27FC236}">
                    <a16:creationId xmlns:a16="http://schemas.microsoft.com/office/drawing/2014/main" id="{69DB65DD-F87D-4A00-8534-9773ACB5ECE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70205"/>
                      </a:xfrm>
                      <a:prstGeom prst="rect">
                        <a:avLst/>
                      </a:prstGeom>
                      <a:noFill/>
                      <a:ln>
                        <a:noFill/>
                      </a:ln>
                    </wps:spPr>
                    <wps:txbx>
                      <w:txbxContent>
                        <w:p w14:paraId="153068A6" w14:textId="7D2B728E"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F8B9009" id="_x0000_t202" coordsize="21600,21600" o:spt="202" path="m,l,21600r21600,l21600,xe">
              <v:stroke joinstyle="miter"/>
              <v:path gradientshapeok="t" o:connecttype="rect"/>
            </v:shapetype>
            <v:shape id="Text Box 1" o:spid="_x0000_s1028" type="#_x0000_t202" alt="Sensitivity: Internal / Non-Personal Data" style="position:absolute;margin-left:131.1pt;margin-top:0;width:182.3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rO3EwIAACIEAAAOAAAAZHJzL2Uyb0RvYy54bWysU8lu2zAQvRfoPxC811pSdxEsB24CFwWM&#10;JIBT5ExTpCWA5BAkbcn9+g4py27TnopeqOHMaJb3Hhe3g1bkKJzvwNS0mOWUCMOh6cy+pt+f1+8+&#10;UeIDMw1TYERNT8LT2+XbN4veVqKEFlQjHMEixle9rWkbgq2yzPNWaOZnYIXBoASnWcCr22eNYz1W&#10;1yor8/xD1oNrrAMuvEfv/Riky1RfSsHDo5ReBKJqirOFdLp07uKZLRes2jtm246fx2D/MIVmncGm&#10;l1L3LDBycN0fpXTHHXiQYcZBZyBlx0XaAbcp8lfbbFtmRdoFwfH2ApP/f2X5w3FrnxwJwxcYkMAI&#10;SG995dEZ9xmk0/GLkxKMI4SnC2xiCISjs7wp5mWBIY6xm495mc9jmez6t3U+fBWgSTRq6pCWhBY7&#10;bnwYU6eU2MzAulMqUaPMbw6sGT3ZdcRohWE3kK7BSabxd9CccCsHI+He8nWHrTfMhyfmkGGcFlUb&#10;HvGQCvqawtmipAX342/+mI/AY5SSHhVTU4OSpkR9M0hIFNdkuGSU8/d5ju5duhWf83m8mYO+AxRj&#10;ge/C8mSi1wU1mdKBfkFRr2I3DDHDsWdNd5N5F0b94qPgYrVKSSgmy8LGbC2PpSNmEdDn4YU5e0Y9&#10;IF8PMGmKVa/AH3Pjn96uDgEpSMxEfEc0z7CjEBO350cTlf7rPWVdn/byJwAAAP//AwBQSwMEFAAG&#10;AAgAAAAhALB7wEbdAAAABAEAAA8AAABkcnMvZG93bnJldi54bWxMj1FLwzAUhd8F/0O4gi/i0rkt&#10;jNp0zIEPggzcRF/T5tqWJTclybru35v5Ml8uHM7hnO8Wq9EaNqAPnSMJ00kGDKl2uqNGwuf+9XEJ&#10;LERFWhlHKOGMAVbl7U2hcu1O9IHDLjYslVDIlYQ2xj7nPNQtWhUmrkdK3o/zVsUkfcO1V6dUbg1/&#10;yjLBreooLbSqx02L9WF3tBJeHsJX9X7w57ft3InvYSNMvxVS3t+N62dgEcd4DcMFP6FDmZgqdyQd&#10;mJGQHol/N3kzMRfAKgmL5Qx4WfD/8OUvAAAA//8DAFBLAQItABQABgAIAAAAIQC2gziS/gAAAOEB&#10;AAATAAAAAAAAAAAAAAAAAAAAAABbQ29udGVudF9UeXBlc10ueG1sUEsBAi0AFAAGAAgAAAAhADj9&#10;If/WAAAAlAEAAAsAAAAAAAAAAAAAAAAALwEAAF9yZWxzLy5yZWxzUEsBAi0AFAAGAAgAAAAhADnq&#10;s7cTAgAAIgQAAA4AAAAAAAAAAAAAAAAALgIAAGRycy9lMm9Eb2MueG1sUEsBAi0AFAAGAAgAAAAh&#10;ALB7wEbdAAAABAEAAA8AAAAAAAAAAAAAAAAAbQQAAGRycy9kb3ducmV2LnhtbFBLBQYAAAAABAAE&#10;APMAAAB3BQAAAAA=&#10;" filled="f" stroked="f">
              <v:textbox style="mso-fit-shape-to-text:t" inset="0,0,20pt,15pt">
                <w:txbxContent>
                  <w:p w14:paraId="153068A6" w14:textId="7D2B728E" w:rsidR="001C7D3E" w:rsidRPr="001C7D3E" w:rsidRDefault="001C7D3E" w:rsidP="001C7D3E">
                    <w:pPr>
                      <w:spacing w:after="0"/>
                      <w:rPr>
                        <w:rFonts w:ascii="Calibri" w:eastAsia="Calibri" w:hAnsi="Calibri" w:cs="Calibri"/>
                        <w:noProof/>
                        <w:color w:val="000000"/>
                        <w:sz w:val="20"/>
                        <w:szCs w:val="20"/>
                      </w:rPr>
                    </w:pPr>
                    <w:r w:rsidRPr="001C7D3E">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F071" w14:textId="77777777" w:rsidR="009C6B9F" w:rsidRDefault="009C6B9F" w:rsidP="001C7D3E">
      <w:pPr>
        <w:spacing w:after="0" w:line="240" w:lineRule="auto"/>
      </w:pPr>
      <w:r>
        <w:separator/>
      </w:r>
    </w:p>
  </w:footnote>
  <w:footnote w:type="continuationSeparator" w:id="0">
    <w:p w14:paraId="07C69D7C" w14:textId="77777777" w:rsidR="009C6B9F" w:rsidRDefault="009C6B9F" w:rsidP="001C7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42DAA"/>
    <w:multiLevelType w:val="hybridMultilevel"/>
    <w:tmpl w:val="4288E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786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3E"/>
    <w:rsid w:val="000006C1"/>
    <w:rsid w:val="0000271E"/>
    <w:rsid w:val="0000420B"/>
    <w:rsid w:val="00007A85"/>
    <w:rsid w:val="000128F0"/>
    <w:rsid w:val="0001747F"/>
    <w:rsid w:val="00024C6D"/>
    <w:rsid w:val="00025989"/>
    <w:rsid w:val="000364FA"/>
    <w:rsid w:val="00043477"/>
    <w:rsid w:val="00047690"/>
    <w:rsid w:val="00055D49"/>
    <w:rsid w:val="0007143E"/>
    <w:rsid w:val="00071C2E"/>
    <w:rsid w:val="00074AE4"/>
    <w:rsid w:val="0008459A"/>
    <w:rsid w:val="000858CC"/>
    <w:rsid w:val="00085FF0"/>
    <w:rsid w:val="00086047"/>
    <w:rsid w:val="000A22E1"/>
    <w:rsid w:val="000B22B5"/>
    <w:rsid w:val="000F4E38"/>
    <w:rsid w:val="000F5989"/>
    <w:rsid w:val="000F69CD"/>
    <w:rsid w:val="00107C90"/>
    <w:rsid w:val="00110554"/>
    <w:rsid w:val="0011320B"/>
    <w:rsid w:val="00120AB7"/>
    <w:rsid w:val="00135B96"/>
    <w:rsid w:val="00136F48"/>
    <w:rsid w:val="0014440E"/>
    <w:rsid w:val="00154ACF"/>
    <w:rsid w:val="00157CD4"/>
    <w:rsid w:val="00160DE9"/>
    <w:rsid w:val="00167DBC"/>
    <w:rsid w:val="00171C3A"/>
    <w:rsid w:val="00176361"/>
    <w:rsid w:val="0017799E"/>
    <w:rsid w:val="00185037"/>
    <w:rsid w:val="00185EC1"/>
    <w:rsid w:val="001938F1"/>
    <w:rsid w:val="001953EF"/>
    <w:rsid w:val="001A011C"/>
    <w:rsid w:val="001A0AA9"/>
    <w:rsid w:val="001A335C"/>
    <w:rsid w:val="001C01E3"/>
    <w:rsid w:val="001C1FE9"/>
    <w:rsid w:val="001C2094"/>
    <w:rsid w:val="001C43E5"/>
    <w:rsid w:val="001C7D3E"/>
    <w:rsid w:val="001D03DC"/>
    <w:rsid w:val="001E51EC"/>
    <w:rsid w:val="001F447A"/>
    <w:rsid w:val="00235F52"/>
    <w:rsid w:val="0025182C"/>
    <w:rsid w:val="002535C7"/>
    <w:rsid w:val="00261733"/>
    <w:rsid w:val="0026178D"/>
    <w:rsid w:val="0026378B"/>
    <w:rsid w:val="00264068"/>
    <w:rsid w:val="00264BB0"/>
    <w:rsid w:val="0026502A"/>
    <w:rsid w:val="00275616"/>
    <w:rsid w:val="0027656A"/>
    <w:rsid w:val="00284EBE"/>
    <w:rsid w:val="00286321"/>
    <w:rsid w:val="002939CA"/>
    <w:rsid w:val="002B0362"/>
    <w:rsid w:val="002B3BBF"/>
    <w:rsid w:val="002C2DD9"/>
    <w:rsid w:val="002C423C"/>
    <w:rsid w:val="002C5C5F"/>
    <w:rsid w:val="002C6CDB"/>
    <w:rsid w:val="002D1596"/>
    <w:rsid w:val="002E0151"/>
    <w:rsid w:val="00307B3B"/>
    <w:rsid w:val="00330DE6"/>
    <w:rsid w:val="00331008"/>
    <w:rsid w:val="003347C2"/>
    <w:rsid w:val="00343539"/>
    <w:rsid w:val="00343875"/>
    <w:rsid w:val="00347A34"/>
    <w:rsid w:val="00352E60"/>
    <w:rsid w:val="0035660F"/>
    <w:rsid w:val="00357B7C"/>
    <w:rsid w:val="0036093E"/>
    <w:rsid w:val="003616EA"/>
    <w:rsid w:val="0037421C"/>
    <w:rsid w:val="00375FBA"/>
    <w:rsid w:val="00383910"/>
    <w:rsid w:val="00387733"/>
    <w:rsid w:val="003931A4"/>
    <w:rsid w:val="0039397C"/>
    <w:rsid w:val="00397C5D"/>
    <w:rsid w:val="003B2ADC"/>
    <w:rsid w:val="003B3A8D"/>
    <w:rsid w:val="003B4A57"/>
    <w:rsid w:val="003C7A46"/>
    <w:rsid w:val="003D10AE"/>
    <w:rsid w:val="003D72BF"/>
    <w:rsid w:val="003E3D1A"/>
    <w:rsid w:val="003E5B43"/>
    <w:rsid w:val="003F3C3C"/>
    <w:rsid w:val="00405023"/>
    <w:rsid w:val="00407144"/>
    <w:rsid w:val="00422BF6"/>
    <w:rsid w:val="00423AAE"/>
    <w:rsid w:val="00424B88"/>
    <w:rsid w:val="00444FBC"/>
    <w:rsid w:val="004624E0"/>
    <w:rsid w:val="00463EB8"/>
    <w:rsid w:val="00466111"/>
    <w:rsid w:val="00482F4E"/>
    <w:rsid w:val="00485C60"/>
    <w:rsid w:val="004907E2"/>
    <w:rsid w:val="00496BC3"/>
    <w:rsid w:val="004A61D0"/>
    <w:rsid w:val="004B3DDD"/>
    <w:rsid w:val="004B41EF"/>
    <w:rsid w:val="004B62F9"/>
    <w:rsid w:val="004C16B6"/>
    <w:rsid w:val="004C292A"/>
    <w:rsid w:val="004C743D"/>
    <w:rsid w:val="004D554F"/>
    <w:rsid w:val="004E0D28"/>
    <w:rsid w:val="004E2967"/>
    <w:rsid w:val="004E3B48"/>
    <w:rsid w:val="004E3F18"/>
    <w:rsid w:val="004E760C"/>
    <w:rsid w:val="004F0588"/>
    <w:rsid w:val="00501629"/>
    <w:rsid w:val="005016A6"/>
    <w:rsid w:val="00501FC5"/>
    <w:rsid w:val="00502E36"/>
    <w:rsid w:val="00507FA3"/>
    <w:rsid w:val="00513DE3"/>
    <w:rsid w:val="0053127F"/>
    <w:rsid w:val="00535F11"/>
    <w:rsid w:val="00543D2E"/>
    <w:rsid w:val="00557CB3"/>
    <w:rsid w:val="00566848"/>
    <w:rsid w:val="00577A0E"/>
    <w:rsid w:val="005922B0"/>
    <w:rsid w:val="005A0E55"/>
    <w:rsid w:val="005A28D4"/>
    <w:rsid w:val="005A4283"/>
    <w:rsid w:val="005A54E2"/>
    <w:rsid w:val="005A679B"/>
    <w:rsid w:val="005B0F50"/>
    <w:rsid w:val="005C3C71"/>
    <w:rsid w:val="005D6121"/>
    <w:rsid w:val="005E0934"/>
    <w:rsid w:val="005E27D0"/>
    <w:rsid w:val="005E321F"/>
    <w:rsid w:val="005E4D01"/>
    <w:rsid w:val="006003F4"/>
    <w:rsid w:val="00600411"/>
    <w:rsid w:val="006013CA"/>
    <w:rsid w:val="00601C93"/>
    <w:rsid w:val="006071A7"/>
    <w:rsid w:val="006144D0"/>
    <w:rsid w:val="0062135F"/>
    <w:rsid w:val="00626ABD"/>
    <w:rsid w:val="00630437"/>
    <w:rsid w:val="006317F7"/>
    <w:rsid w:val="006318AA"/>
    <w:rsid w:val="00650C10"/>
    <w:rsid w:val="00655C15"/>
    <w:rsid w:val="00662E1D"/>
    <w:rsid w:val="0066368D"/>
    <w:rsid w:val="0066755F"/>
    <w:rsid w:val="0067438E"/>
    <w:rsid w:val="006754D2"/>
    <w:rsid w:val="00675ED7"/>
    <w:rsid w:val="00675FB3"/>
    <w:rsid w:val="006840F6"/>
    <w:rsid w:val="00687DB1"/>
    <w:rsid w:val="006928DA"/>
    <w:rsid w:val="006A1C2E"/>
    <w:rsid w:val="006A4396"/>
    <w:rsid w:val="006B0FFE"/>
    <w:rsid w:val="006C6F8B"/>
    <w:rsid w:val="006E57A9"/>
    <w:rsid w:val="006F029C"/>
    <w:rsid w:val="007000B0"/>
    <w:rsid w:val="00702438"/>
    <w:rsid w:val="007078E3"/>
    <w:rsid w:val="00707F56"/>
    <w:rsid w:val="00717436"/>
    <w:rsid w:val="00726E91"/>
    <w:rsid w:val="007346DD"/>
    <w:rsid w:val="007347B9"/>
    <w:rsid w:val="00750807"/>
    <w:rsid w:val="00752C52"/>
    <w:rsid w:val="00773AC0"/>
    <w:rsid w:val="00797EAC"/>
    <w:rsid w:val="007B180C"/>
    <w:rsid w:val="007B2695"/>
    <w:rsid w:val="007B4816"/>
    <w:rsid w:val="007C64CA"/>
    <w:rsid w:val="007D1F70"/>
    <w:rsid w:val="007D208D"/>
    <w:rsid w:val="007E1371"/>
    <w:rsid w:val="007E41B2"/>
    <w:rsid w:val="007F2852"/>
    <w:rsid w:val="007F78D2"/>
    <w:rsid w:val="00805104"/>
    <w:rsid w:val="0081714E"/>
    <w:rsid w:val="008500D8"/>
    <w:rsid w:val="00857DAE"/>
    <w:rsid w:val="008777BB"/>
    <w:rsid w:val="00885472"/>
    <w:rsid w:val="008956C1"/>
    <w:rsid w:val="008A22E2"/>
    <w:rsid w:val="008A2D26"/>
    <w:rsid w:val="008A48F8"/>
    <w:rsid w:val="008B557A"/>
    <w:rsid w:val="008B581A"/>
    <w:rsid w:val="008C75C5"/>
    <w:rsid w:val="008E1474"/>
    <w:rsid w:val="008F390F"/>
    <w:rsid w:val="008F3CDC"/>
    <w:rsid w:val="008F3E3A"/>
    <w:rsid w:val="0090342B"/>
    <w:rsid w:val="00903823"/>
    <w:rsid w:val="00913012"/>
    <w:rsid w:val="00917A38"/>
    <w:rsid w:val="009278A2"/>
    <w:rsid w:val="009344B2"/>
    <w:rsid w:val="009352FA"/>
    <w:rsid w:val="00936FCE"/>
    <w:rsid w:val="00953DF5"/>
    <w:rsid w:val="00956EC0"/>
    <w:rsid w:val="00961096"/>
    <w:rsid w:val="009654ED"/>
    <w:rsid w:val="00975E14"/>
    <w:rsid w:val="00977AF3"/>
    <w:rsid w:val="0098119C"/>
    <w:rsid w:val="00983EA4"/>
    <w:rsid w:val="00985DCF"/>
    <w:rsid w:val="009869E9"/>
    <w:rsid w:val="009976B3"/>
    <w:rsid w:val="009A2333"/>
    <w:rsid w:val="009A33E4"/>
    <w:rsid w:val="009A3B45"/>
    <w:rsid w:val="009A5C08"/>
    <w:rsid w:val="009B02BB"/>
    <w:rsid w:val="009B0796"/>
    <w:rsid w:val="009B306C"/>
    <w:rsid w:val="009B38A0"/>
    <w:rsid w:val="009B4E64"/>
    <w:rsid w:val="009B56F3"/>
    <w:rsid w:val="009B668D"/>
    <w:rsid w:val="009C6B9F"/>
    <w:rsid w:val="009D0DCE"/>
    <w:rsid w:val="009E00EC"/>
    <w:rsid w:val="009E7326"/>
    <w:rsid w:val="009F082D"/>
    <w:rsid w:val="00A01E3C"/>
    <w:rsid w:val="00A02089"/>
    <w:rsid w:val="00A04824"/>
    <w:rsid w:val="00A06186"/>
    <w:rsid w:val="00A20C3A"/>
    <w:rsid w:val="00A36142"/>
    <w:rsid w:val="00A37E22"/>
    <w:rsid w:val="00A46723"/>
    <w:rsid w:val="00A56268"/>
    <w:rsid w:val="00A57650"/>
    <w:rsid w:val="00A77D9A"/>
    <w:rsid w:val="00A823B8"/>
    <w:rsid w:val="00AA0E5E"/>
    <w:rsid w:val="00AA68C1"/>
    <w:rsid w:val="00AB1235"/>
    <w:rsid w:val="00AC1EF2"/>
    <w:rsid w:val="00AC21F7"/>
    <w:rsid w:val="00AD188C"/>
    <w:rsid w:val="00AD5746"/>
    <w:rsid w:val="00AE2909"/>
    <w:rsid w:val="00AE3C6B"/>
    <w:rsid w:val="00AE7E36"/>
    <w:rsid w:val="00AF4240"/>
    <w:rsid w:val="00AF6BC1"/>
    <w:rsid w:val="00B02813"/>
    <w:rsid w:val="00B03FB2"/>
    <w:rsid w:val="00B0715D"/>
    <w:rsid w:val="00B10713"/>
    <w:rsid w:val="00B166F8"/>
    <w:rsid w:val="00B215DA"/>
    <w:rsid w:val="00B3683E"/>
    <w:rsid w:val="00B40C4C"/>
    <w:rsid w:val="00B428BB"/>
    <w:rsid w:val="00B43886"/>
    <w:rsid w:val="00B457B0"/>
    <w:rsid w:val="00B46578"/>
    <w:rsid w:val="00B46694"/>
    <w:rsid w:val="00B511B5"/>
    <w:rsid w:val="00B548DB"/>
    <w:rsid w:val="00B56B47"/>
    <w:rsid w:val="00B57899"/>
    <w:rsid w:val="00B57AA7"/>
    <w:rsid w:val="00B73225"/>
    <w:rsid w:val="00B920B1"/>
    <w:rsid w:val="00B95D78"/>
    <w:rsid w:val="00BA00E6"/>
    <w:rsid w:val="00BA08C8"/>
    <w:rsid w:val="00BA1DD8"/>
    <w:rsid w:val="00BA2153"/>
    <w:rsid w:val="00BB59BB"/>
    <w:rsid w:val="00BC0B2E"/>
    <w:rsid w:val="00BC31C2"/>
    <w:rsid w:val="00BC5CD3"/>
    <w:rsid w:val="00BD0A00"/>
    <w:rsid w:val="00BD6B22"/>
    <w:rsid w:val="00BD7F93"/>
    <w:rsid w:val="00BE06BE"/>
    <w:rsid w:val="00BE545A"/>
    <w:rsid w:val="00BF5224"/>
    <w:rsid w:val="00C00BCB"/>
    <w:rsid w:val="00C02657"/>
    <w:rsid w:val="00C16437"/>
    <w:rsid w:val="00C27756"/>
    <w:rsid w:val="00C277AA"/>
    <w:rsid w:val="00C31D6A"/>
    <w:rsid w:val="00C34D95"/>
    <w:rsid w:val="00C37098"/>
    <w:rsid w:val="00C377FE"/>
    <w:rsid w:val="00C47485"/>
    <w:rsid w:val="00C91E38"/>
    <w:rsid w:val="00C91E4A"/>
    <w:rsid w:val="00C9329F"/>
    <w:rsid w:val="00C93606"/>
    <w:rsid w:val="00C943B7"/>
    <w:rsid w:val="00C95C9A"/>
    <w:rsid w:val="00CA5C55"/>
    <w:rsid w:val="00CB4130"/>
    <w:rsid w:val="00CB4ACC"/>
    <w:rsid w:val="00CB5D16"/>
    <w:rsid w:val="00CC3515"/>
    <w:rsid w:val="00CC38EC"/>
    <w:rsid w:val="00CC3BC3"/>
    <w:rsid w:val="00CC667A"/>
    <w:rsid w:val="00CE0AEF"/>
    <w:rsid w:val="00CF1DA4"/>
    <w:rsid w:val="00CF4EFB"/>
    <w:rsid w:val="00CF7CC2"/>
    <w:rsid w:val="00D07FF3"/>
    <w:rsid w:val="00D105E0"/>
    <w:rsid w:val="00D12944"/>
    <w:rsid w:val="00D15513"/>
    <w:rsid w:val="00D15A78"/>
    <w:rsid w:val="00D24C49"/>
    <w:rsid w:val="00D252D2"/>
    <w:rsid w:val="00D26E2B"/>
    <w:rsid w:val="00D362FC"/>
    <w:rsid w:val="00D40988"/>
    <w:rsid w:val="00D4348F"/>
    <w:rsid w:val="00D43576"/>
    <w:rsid w:val="00D51C67"/>
    <w:rsid w:val="00D528E6"/>
    <w:rsid w:val="00D55026"/>
    <w:rsid w:val="00D64AC4"/>
    <w:rsid w:val="00D72125"/>
    <w:rsid w:val="00D73B59"/>
    <w:rsid w:val="00D84870"/>
    <w:rsid w:val="00D93803"/>
    <w:rsid w:val="00DB0206"/>
    <w:rsid w:val="00DB7D9B"/>
    <w:rsid w:val="00DC65A1"/>
    <w:rsid w:val="00DC7017"/>
    <w:rsid w:val="00DE13B6"/>
    <w:rsid w:val="00E04285"/>
    <w:rsid w:val="00E05821"/>
    <w:rsid w:val="00E134D1"/>
    <w:rsid w:val="00E141C9"/>
    <w:rsid w:val="00E244CD"/>
    <w:rsid w:val="00E367C0"/>
    <w:rsid w:val="00E41B6D"/>
    <w:rsid w:val="00E45E68"/>
    <w:rsid w:val="00E6299C"/>
    <w:rsid w:val="00E63A8A"/>
    <w:rsid w:val="00E66852"/>
    <w:rsid w:val="00E91739"/>
    <w:rsid w:val="00E9396D"/>
    <w:rsid w:val="00EA4CCF"/>
    <w:rsid w:val="00EB2707"/>
    <w:rsid w:val="00EB6BFC"/>
    <w:rsid w:val="00EC4857"/>
    <w:rsid w:val="00ED088E"/>
    <w:rsid w:val="00ED0DE1"/>
    <w:rsid w:val="00EE04C0"/>
    <w:rsid w:val="00EF36CB"/>
    <w:rsid w:val="00EF6AC3"/>
    <w:rsid w:val="00EF79EF"/>
    <w:rsid w:val="00F10BB5"/>
    <w:rsid w:val="00F150D4"/>
    <w:rsid w:val="00F24A01"/>
    <w:rsid w:val="00F420E0"/>
    <w:rsid w:val="00F5193E"/>
    <w:rsid w:val="00F55D5C"/>
    <w:rsid w:val="00F77BB3"/>
    <w:rsid w:val="00F86C98"/>
    <w:rsid w:val="00F86D49"/>
    <w:rsid w:val="00F94BD1"/>
    <w:rsid w:val="00FB18D4"/>
    <w:rsid w:val="00FB3DEA"/>
    <w:rsid w:val="00FB51E5"/>
    <w:rsid w:val="00FB5F67"/>
    <w:rsid w:val="00FB7D19"/>
    <w:rsid w:val="00FC3B4C"/>
    <w:rsid w:val="00FC4C90"/>
    <w:rsid w:val="00FC5AE6"/>
    <w:rsid w:val="00FC7F90"/>
    <w:rsid w:val="00FD06A3"/>
    <w:rsid w:val="00FD714B"/>
    <w:rsid w:val="00FE3126"/>
    <w:rsid w:val="00FE31C7"/>
    <w:rsid w:val="00FF19E7"/>
    <w:rsid w:val="0100112F"/>
    <w:rsid w:val="03BF9CB4"/>
    <w:rsid w:val="040138D7"/>
    <w:rsid w:val="0412D3B7"/>
    <w:rsid w:val="09077F75"/>
    <w:rsid w:val="0AB1676E"/>
    <w:rsid w:val="0E0FDCFA"/>
    <w:rsid w:val="0E247574"/>
    <w:rsid w:val="0F5EDC25"/>
    <w:rsid w:val="109648A3"/>
    <w:rsid w:val="11392BDC"/>
    <w:rsid w:val="11DE3875"/>
    <w:rsid w:val="12867EA9"/>
    <w:rsid w:val="1308F42F"/>
    <w:rsid w:val="13FD814C"/>
    <w:rsid w:val="14B168C2"/>
    <w:rsid w:val="14C98E6C"/>
    <w:rsid w:val="14F360AE"/>
    <w:rsid w:val="157A4BC6"/>
    <w:rsid w:val="160B6E79"/>
    <w:rsid w:val="18361584"/>
    <w:rsid w:val="18FA2A7A"/>
    <w:rsid w:val="1991BC3C"/>
    <w:rsid w:val="19D6BB85"/>
    <w:rsid w:val="1A257277"/>
    <w:rsid w:val="1A62B7DC"/>
    <w:rsid w:val="1B04F48C"/>
    <w:rsid w:val="1CEC5720"/>
    <w:rsid w:val="1F89D9F2"/>
    <w:rsid w:val="236FB58B"/>
    <w:rsid w:val="24B0FD15"/>
    <w:rsid w:val="254CA40A"/>
    <w:rsid w:val="2751577E"/>
    <w:rsid w:val="275EF058"/>
    <w:rsid w:val="27CA8AC2"/>
    <w:rsid w:val="27D3FEDC"/>
    <w:rsid w:val="28D9A0A9"/>
    <w:rsid w:val="2B0F23EB"/>
    <w:rsid w:val="2B7ABFF2"/>
    <w:rsid w:val="2D8455B6"/>
    <w:rsid w:val="2DEE732A"/>
    <w:rsid w:val="2F9090D8"/>
    <w:rsid w:val="30B4B0B0"/>
    <w:rsid w:val="327C296F"/>
    <w:rsid w:val="341BA826"/>
    <w:rsid w:val="356E5F3B"/>
    <w:rsid w:val="358F9693"/>
    <w:rsid w:val="36257E7E"/>
    <w:rsid w:val="36291984"/>
    <w:rsid w:val="3651ED1D"/>
    <w:rsid w:val="3768253C"/>
    <w:rsid w:val="3930067D"/>
    <w:rsid w:val="39C780B2"/>
    <w:rsid w:val="39D425F6"/>
    <w:rsid w:val="3D896742"/>
    <w:rsid w:val="3FE20594"/>
    <w:rsid w:val="40E0B4D9"/>
    <w:rsid w:val="42C7D48A"/>
    <w:rsid w:val="43F7B7EB"/>
    <w:rsid w:val="465C462B"/>
    <w:rsid w:val="47413591"/>
    <w:rsid w:val="4AEA5753"/>
    <w:rsid w:val="4BAEBD1E"/>
    <w:rsid w:val="4D0A2EC9"/>
    <w:rsid w:val="4E91EE65"/>
    <w:rsid w:val="511AF6DE"/>
    <w:rsid w:val="52201BE8"/>
    <w:rsid w:val="5233EFAA"/>
    <w:rsid w:val="52DC8655"/>
    <w:rsid w:val="566355B1"/>
    <w:rsid w:val="568AB392"/>
    <w:rsid w:val="576E6617"/>
    <w:rsid w:val="579E4A4A"/>
    <w:rsid w:val="58615B2A"/>
    <w:rsid w:val="5B5184BA"/>
    <w:rsid w:val="5C1152A4"/>
    <w:rsid w:val="5C3A9BAC"/>
    <w:rsid w:val="5C7FBF11"/>
    <w:rsid w:val="5D910858"/>
    <w:rsid w:val="60FEC73D"/>
    <w:rsid w:val="6434632B"/>
    <w:rsid w:val="66FE4D5B"/>
    <w:rsid w:val="67FC5B13"/>
    <w:rsid w:val="6835F490"/>
    <w:rsid w:val="68E76E07"/>
    <w:rsid w:val="6A6F87E7"/>
    <w:rsid w:val="6BC4B896"/>
    <w:rsid w:val="6C4A82CB"/>
    <w:rsid w:val="6C9FF8EA"/>
    <w:rsid w:val="6EDC19C6"/>
    <w:rsid w:val="6FBBC5E0"/>
    <w:rsid w:val="70993022"/>
    <w:rsid w:val="7250E2D2"/>
    <w:rsid w:val="72515E23"/>
    <w:rsid w:val="72781238"/>
    <w:rsid w:val="7281132B"/>
    <w:rsid w:val="736434B6"/>
    <w:rsid w:val="74B37239"/>
    <w:rsid w:val="751C895F"/>
    <w:rsid w:val="754D163B"/>
    <w:rsid w:val="75C6C1FF"/>
    <w:rsid w:val="76C6E47C"/>
    <w:rsid w:val="7781D94C"/>
    <w:rsid w:val="77B84CF7"/>
    <w:rsid w:val="790901BA"/>
    <w:rsid w:val="7A0CC63D"/>
    <w:rsid w:val="7A214107"/>
    <w:rsid w:val="7A5C1235"/>
    <w:rsid w:val="7A71270C"/>
    <w:rsid w:val="7B433401"/>
    <w:rsid w:val="7BF18393"/>
    <w:rsid w:val="7C0699E3"/>
    <w:rsid w:val="7D6AC601"/>
    <w:rsid w:val="7DBE1EC7"/>
    <w:rsid w:val="7FFA56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C7A3"/>
  <w15:chartTrackingRefBased/>
  <w15:docId w15:val="{CE6E0707-7FC3-48A6-BCA1-A4CEC980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D3E"/>
    <w:rPr>
      <w:rFonts w:eastAsiaTheme="majorEastAsia" w:cstheme="majorBidi"/>
      <w:color w:val="272727" w:themeColor="text1" w:themeTint="D8"/>
    </w:rPr>
  </w:style>
  <w:style w:type="paragraph" w:styleId="Title">
    <w:name w:val="Title"/>
    <w:basedOn w:val="Normal"/>
    <w:next w:val="Normal"/>
    <w:link w:val="TitleChar"/>
    <w:uiPriority w:val="10"/>
    <w:qFormat/>
    <w:rsid w:val="001C7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D3E"/>
    <w:pPr>
      <w:spacing w:before="160"/>
      <w:jc w:val="center"/>
    </w:pPr>
    <w:rPr>
      <w:i/>
      <w:iCs/>
      <w:color w:val="404040" w:themeColor="text1" w:themeTint="BF"/>
    </w:rPr>
  </w:style>
  <w:style w:type="character" w:customStyle="1" w:styleId="QuoteChar">
    <w:name w:val="Quote Char"/>
    <w:basedOn w:val="DefaultParagraphFont"/>
    <w:link w:val="Quote"/>
    <w:uiPriority w:val="29"/>
    <w:rsid w:val="001C7D3E"/>
    <w:rPr>
      <w:i/>
      <w:iCs/>
      <w:color w:val="404040" w:themeColor="text1" w:themeTint="BF"/>
    </w:rPr>
  </w:style>
  <w:style w:type="paragraph" w:styleId="ListParagraph">
    <w:name w:val="List Paragraph"/>
    <w:basedOn w:val="Normal"/>
    <w:uiPriority w:val="34"/>
    <w:qFormat/>
    <w:rsid w:val="001C7D3E"/>
    <w:pPr>
      <w:ind w:left="720"/>
      <w:contextualSpacing/>
    </w:pPr>
  </w:style>
  <w:style w:type="character" w:styleId="IntenseEmphasis">
    <w:name w:val="Intense Emphasis"/>
    <w:basedOn w:val="DefaultParagraphFont"/>
    <w:uiPriority w:val="21"/>
    <w:qFormat/>
    <w:rsid w:val="001C7D3E"/>
    <w:rPr>
      <w:i/>
      <w:iCs/>
      <w:color w:val="0F4761" w:themeColor="accent1" w:themeShade="BF"/>
    </w:rPr>
  </w:style>
  <w:style w:type="paragraph" w:styleId="IntenseQuote">
    <w:name w:val="Intense Quote"/>
    <w:basedOn w:val="Normal"/>
    <w:next w:val="Normal"/>
    <w:link w:val="IntenseQuoteChar"/>
    <w:uiPriority w:val="30"/>
    <w:qFormat/>
    <w:rsid w:val="001C7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D3E"/>
    <w:rPr>
      <w:i/>
      <w:iCs/>
      <w:color w:val="0F4761" w:themeColor="accent1" w:themeShade="BF"/>
    </w:rPr>
  </w:style>
  <w:style w:type="character" w:styleId="IntenseReference">
    <w:name w:val="Intense Reference"/>
    <w:basedOn w:val="DefaultParagraphFont"/>
    <w:uiPriority w:val="32"/>
    <w:qFormat/>
    <w:rsid w:val="001C7D3E"/>
    <w:rPr>
      <w:b/>
      <w:bCs/>
      <w:smallCaps/>
      <w:color w:val="0F4761" w:themeColor="accent1" w:themeShade="BF"/>
      <w:spacing w:val="5"/>
    </w:rPr>
  </w:style>
  <w:style w:type="paragraph" w:styleId="Footer">
    <w:name w:val="footer"/>
    <w:basedOn w:val="Normal"/>
    <w:link w:val="FooterChar"/>
    <w:uiPriority w:val="99"/>
    <w:unhideWhenUsed/>
    <w:rsid w:val="001C7D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D3E"/>
  </w:style>
  <w:style w:type="character" w:styleId="CommentReference">
    <w:name w:val="annotation reference"/>
    <w:basedOn w:val="DefaultParagraphFont"/>
    <w:uiPriority w:val="99"/>
    <w:semiHidden/>
    <w:unhideWhenUsed/>
    <w:rsid w:val="006F029C"/>
    <w:rPr>
      <w:sz w:val="16"/>
      <w:szCs w:val="16"/>
    </w:rPr>
  </w:style>
  <w:style w:type="paragraph" w:styleId="CommentText">
    <w:name w:val="annotation text"/>
    <w:basedOn w:val="Normal"/>
    <w:link w:val="CommentTextChar"/>
    <w:uiPriority w:val="99"/>
    <w:unhideWhenUsed/>
    <w:rsid w:val="006F029C"/>
    <w:pPr>
      <w:spacing w:line="240" w:lineRule="auto"/>
    </w:pPr>
    <w:rPr>
      <w:sz w:val="20"/>
      <w:szCs w:val="20"/>
    </w:rPr>
  </w:style>
  <w:style w:type="character" w:customStyle="1" w:styleId="CommentTextChar">
    <w:name w:val="Comment Text Char"/>
    <w:basedOn w:val="DefaultParagraphFont"/>
    <w:link w:val="CommentText"/>
    <w:uiPriority w:val="99"/>
    <w:rsid w:val="006F029C"/>
    <w:rPr>
      <w:sz w:val="20"/>
      <w:szCs w:val="20"/>
    </w:rPr>
  </w:style>
  <w:style w:type="paragraph" w:styleId="CommentSubject">
    <w:name w:val="annotation subject"/>
    <w:basedOn w:val="CommentText"/>
    <w:next w:val="CommentText"/>
    <w:link w:val="CommentSubjectChar"/>
    <w:uiPriority w:val="99"/>
    <w:semiHidden/>
    <w:unhideWhenUsed/>
    <w:rsid w:val="006F029C"/>
    <w:rPr>
      <w:b/>
      <w:bCs/>
    </w:rPr>
  </w:style>
  <w:style w:type="character" w:customStyle="1" w:styleId="CommentSubjectChar">
    <w:name w:val="Comment Subject Char"/>
    <w:basedOn w:val="CommentTextChar"/>
    <w:link w:val="CommentSubject"/>
    <w:uiPriority w:val="99"/>
    <w:semiHidden/>
    <w:rsid w:val="006F029C"/>
    <w:rPr>
      <w:b/>
      <w:bCs/>
      <w:sz w:val="20"/>
      <w:szCs w:val="20"/>
    </w:rPr>
  </w:style>
  <w:style w:type="paragraph" w:styleId="Header">
    <w:name w:val="header"/>
    <w:basedOn w:val="Normal"/>
    <w:link w:val="HeaderChar"/>
    <w:uiPriority w:val="99"/>
    <w:semiHidden/>
    <w:unhideWhenUsed/>
    <w:rsid w:val="004B3D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3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599</Words>
  <Characters>3398</Characters>
  <Application>Microsoft Office Word</Application>
  <DocSecurity>0</DocSecurity>
  <Lines>56</Lines>
  <Paragraphs>12</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Altunbilek</dc:creator>
  <cp:keywords/>
  <dc:description/>
  <cp:lastModifiedBy>Asude Feyza User</cp:lastModifiedBy>
  <cp:revision>33</cp:revision>
  <dcterms:created xsi:type="dcterms:W3CDTF">2026-04-19T21:19:00Z</dcterms:created>
  <dcterms:modified xsi:type="dcterms:W3CDTF">2026-04-21T05:43:00Z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56a1f31d,53d29945,7ff411f1</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2026-04-16T06:37:02Z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31b21c79-702b-4a9c-9777-dde7ac08dd47</vt:lpwstr>
  </property>
  <property fmtid="{D5CDD505-2E9C-101B-9397-08002B2CF9AE}" pid="11" name="MSIP_Label_0067fe22-5eac-47ec-8e7b-0d161ebb91ad_ContentBits">
    <vt:lpwstr>2</vt:lpwstr>
  </property>
  <property fmtid="{D5CDD505-2E9C-101B-9397-08002B2CF9AE}" pid="12" name="MSIP_Label_0067fe22-5eac-47ec-8e7b-0d161ebb91ad_Tag">
    <vt:lpwstr>10, 3, 0, 1</vt:lpwstr>
  </property>
</Properties>
</file>