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275B" w14:textId="77777777" w:rsidR="00D260D2" w:rsidRPr="00512AE8" w:rsidRDefault="00923E4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234B277B" wp14:editId="234B277C">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4B275C"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p>
    <w:p w14:paraId="234B275D"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234B277D" wp14:editId="234B277E">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234B275E"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234B275F"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234B2760"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234B2761"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234B2762"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234B2763"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234B2764" w14:textId="77777777" w:rsidR="00C450E0" w:rsidRPr="007637F9" w:rsidRDefault="00012C1B" w:rsidP="00E765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14:paraId="234B2777" w14:textId="77777777" w:rsidR="004C7FD3" w:rsidRDefault="004C7FD3" w:rsidP="00E765F9">
      <w:pPr>
        <w:spacing w:line="276" w:lineRule="auto"/>
        <w:jc w:val="both"/>
        <w:rPr>
          <w:bCs/>
          <w:sz w:val="24"/>
          <w:szCs w:val="24"/>
        </w:rPr>
      </w:pPr>
    </w:p>
    <w:p w14:paraId="73EE897B" w14:textId="77777777" w:rsidR="00A4551C" w:rsidRDefault="00A4551C" w:rsidP="00A4551C"/>
    <w:p w14:paraId="3E0F17AE" w14:textId="7C3C3A2D" w:rsidR="00A4551C" w:rsidRDefault="00A4551C" w:rsidP="00A4551C">
      <w:pPr>
        <w:jc w:val="both"/>
        <w:rPr>
          <w:b/>
          <w:bCs/>
          <w:sz w:val="24"/>
          <w:szCs w:val="20"/>
        </w:rPr>
      </w:pPr>
    </w:p>
    <w:p w14:paraId="2D90C4CA" w14:textId="6CCDA0F6" w:rsidR="00E9321B" w:rsidRPr="00E9321B" w:rsidRDefault="00E9321B" w:rsidP="00E9321B">
      <w:pPr>
        <w:jc w:val="center"/>
        <w:rPr>
          <w:b/>
          <w:bCs/>
          <w:sz w:val="40"/>
          <w:szCs w:val="20"/>
        </w:rPr>
      </w:pPr>
      <w:r w:rsidRPr="00E9321B">
        <w:rPr>
          <w:b/>
          <w:bCs/>
          <w:sz w:val="40"/>
          <w:szCs w:val="20"/>
        </w:rPr>
        <w:t xml:space="preserve">ARÇELİK’E ENERJİ </w:t>
      </w:r>
      <w:r w:rsidR="001822CE">
        <w:rPr>
          <w:b/>
          <w:bCs/>
          <w:sz w:val="40"/>
          <w:szCs w:val="20"/>
        </w:rPr>
        <w:t xml:space="preserve">VE TABİİ KAYNAKLAR </w:t>
      </w:r>
      <w:r w:rsidRPr="00E9321B">
        <w:rPr>
          <w:b/>
          <w:bCs/>
          <w:sz w:val="40"/>
          <w:szCs w:val="20"/>
        </w:rPr>
        <w:t>BAKANLIĞI’NDAN BAŞARI ÖDÜLÜ</w:t>
      </w:r>
    </w:p>
    <w:p w14:paraId="3F8A337D" w14:textId="77777777" w:rsidR="00E9321B" w:rsidRDefault="00E9321B" w:rsidP="00A4551C">
      <w:pPr>
        <w:jc w:val="both"/>
        <w:rPr>
          <w:b/>
          <w:bCs/>
          <w:sz w:val="24"/>
          <w:szCs w:val="20"/>
        </w:rPr>
      </w:pPr>
    </w:p>
    <w:p w14:paraId="11FB97E8" w14:textId="77777777" w:rsidR="00A4551C" w:rsidRDefault="00A4551C" w:rsidP="00A4551C">
      <w:pPr>
        <w:jc w:val="center"/>
        <w:rPr>
          <w:b/>
          <w:bCs/>
          <w:sz w:val="28"/>
          <w:szCs w:val="20"/>
        </w:rPr>
      </w:pPr>
      <w:proofErr w:type="gramStart"/>
      <w:r w:rsidRPr="00A4551C">
        <w:rPr>
          <w:b/>
          <w:bCs/>
          <w:sz w:val="28"/>
          <w:szCs w:val="20"/>
        </w:rPr>
        <w:t>Arçelik,  bu</w:t>
      </w:r>
      <w:proofErr w:type="gramEnd"/>
      <w:r w:rsidRPr="00A4551C">
        <w:rPr>
          <w:b/>
          <w:bCs/>
          <w:sz w:val="28"/>
          <w:szCs w:val="20"/>
        </w:rPr>
        <w:t xml:space="preserve"> yıl 10’uncusu düzenlenen Enerji Verimliliği Forumu ve Fuarı’nda Arçelik Kurumsal Çözümler </w:t>
      </w:r>
      <w:r>
        <w:rPr>
          <w:b/>
          <w:bCs/>
          <w:sz w:val="28"/>
          <w:szCs w:val="20"/>
        </w:rPr>
        <w:t>kategorisindeki</w:t>
      </w:r>
      <w:r w:rsidRPr="00A4551C">
        <w:rPr>
          <w:b/>
          <w:bCs/>
          <w:sz w:val="28"/>
          <w:szCs w:val="20"/>
        </w:rPr>
        <w:t xml:space="preserve"> ürünleriyle yer aldı.</w:t>
      </w:r>
      <w:r>
        <w:rPr>
          <w:b/>
          <w:bCs/>
          <w:sz w:val="28"/>
          <w:szCs w:val="20"/>
        </w:rPr>
        <w:t xml:space="preserve"> </w:t>
      </w:r>
    </w:p>
    <w:p w14:paraId="090CFA02" w14:textId="34C96245" w:rsidR="00A4551C" w:rsidRDefault="00A4551C" w:rsidP="00A4551C">
      <w:pPr>
        <w:jc w:val="center"/>
        <w:rPr>
          <w:b/>
          <w:bCs/>
          <w:sz w:val="28"/>
          <w:szCs w:val="20"/>
        </w:rPr>
      </w:pPr>
      <w:r w:rsidRPr="00A4551C">
        <w:rPr>
          <w:b/>
          <w:bCs/>
          <w:sz w:val="28"/>
          <w:szCs w:val="20"/>
        </w:rPr>
        <w:t xml:space="preserve">Enerji </w:t>
      </w:r>
      <w:r w:rsidR="001822CE">
        <w:rPr>
          <w:b/>
          <w:bCs/>
          <w:sz w:val="28"/>
          <w:szCs w:val="20"/>
        </w:rPr>
        <w:t xml:space="preserve">ve Tabii Kaynaklar </w:t>
      </w:r>
      <w:r w:rsidRPr="00A4551C">
        <w:rPr>
          <w:b/>
          <w:bCs/>
          <w:sz w:val="28"/>
          <w:szCs w:val="20"/>
        </w:rPr>
        <w:t>Bakanlığı’nın Enerji Verimli Danışmanlık Şirketi (EVD) statüsünü kazanan Arçelik’in Kompresör İşletmesi’</w:t>
      </w:r>
      <w:r>
        <w:rPr>
          <w:b/>
          <w:bCs/>
          <w:sz w:val="28"/>
          <w:szCs w:val="20"/>
        </w:rPr>
        <w:t>nde yürüttüğü</w:t>
      </w:r>
      <w:r w:rsidRPr="00A4551C">
        <w:rPr>
          <w:b/>
          <w:bCs/>
          <w:sz w:val="28"/>
          <w:szCs w:val="20"/>
        </w:rPr>
        <w:t xml:space="preserve"> </w:t>
      </w:r>
      <w:r>
        <w:rPr>
          <w:b/>
          <w:bCs/>
          <w:sz w:val="28"/>
          <w:szCs w:val="20"/>
        </w:rPr>
        <w:t>‘</w:t>
      </w:r>
      <w:r w:rsidRPr="00A4551C">
        <w:rPr>
          <w:b/>
          <w:bCs/>
          <w:sz w:val="28"/>
          <w:szCs w:val="20"/>
        </w:rPr>
        <w:t>Verimlilik Artırıcı Projesi</w:t>
      </w:r>
      <w:r>
        <w:rPr>
          <w:b/>
          <w:bCs/>
          <w:sz w:val="28"/>
          <w:szCs w:val="20"/>
        </w:rPr>
        <w:t>’</w:t>
      </w:r>
      <w:r w:rsidRPr="00A4551C">
        <w:rPr>
          <w:b/>
          <w:bCs/>
          <w:sz w:val="28"/>
          <w:szCs w:val="20"/>
        </w:rPr>
        <w:t xml:space="preserve"> f</w:t>
      </w:r>
      <w:r>
        <w:rPr>
          <w:b/>
          <w:bCs/>
          <w:sz w:val="28"/>
          <w:szCs w:val="20"/>
        </w:rPr>
        <w:t xml:space="preserve">orum kapsamında düzenlenen törende </w:t>
      </w:r>
      <w:r w:rsidRPr="00A4551C">
        <w:rPr>
          <w:b/>
          <w:bCs/>
          <w:sz w:val="28"/>
          <w:szCs w:val="20"/>
        </w:rPr>
        <w:t>Başarı Plaketine layık görüldü.</w:t>
      </w:r>
    </w:p>
    <w:p w14:paraId="01094D66" w14:textId="5CEAECC3" w:rsidR="002C6ACD" w:rsidRDefault="002C6ACD" w:rsidP="00A4551C">
      <w:pPr>
        <w:jc w:val="center"/>
        <w:rPr>
          <w:b/>
          <w:bCs/>
          <w:sz w:val="28"/>
          <w:szCs w:val="20"/>
        </w:rPr>
      </w:pPr>
    </w:p>
    <w:p w14:paraId="4A14AAF7" w14:textId="46725217" w:rsidR="00A4551C" w:rsidRPr="00A4551C" w:rsidRDefault="00A4551C" w:rsidP="00A4551C">
      <w:pPr>
        <w:jc w:val="both"/>
        <w:rPr>
          <w:bCs/>
          <w:sz w:val="24"/>
          <w:szCs w:val="20"/>
        </w:rPr>
      </w:pPr>
      <w:r w:rsidRPr="00A4551C">
        <w:rPr>
          <w:bCs/>
          <w:sz w:val="24"/>
          <w:szCs w:val="20"/>
        </w:rPr>
        <w:t>Arçelik, 11-12 Nisan 2019 tarihlerinde, Lütfi Kırdar Uluslararası Kongre ve Sergi Sarayı’nda gerçekleşen 10. Enerji Verimliliği Forumu ve Fuarı’na</w:t>
      </w:r>
      <w:r>
        <w:rPr>
          <w:bCs/>
          <w:sz w:val="24"/>
          <w:szCs w:val="20"/>
        </w:rPr>
        <w:t xml:space="preserve"> (EVF)</w:t>
      </w:r>
      <w:r w:rsidRPr="00A4551C">
        <w:rPr>
          <w:bCs/>
          <w:sz w:val="24"/>
          <w:szCs w:val="20"/>
        </w:rPr>
        <w:t xml:space="preserve"> katıldı. </w:t>
      </w:r>
      <w:r>
        <w:rPr>
          <w:bCs/>
          <w:sz w:val="24"/>
          <w:szCs w:val="20"/>
        </w:rPr>
        <w:t xml:space="preserve">Forum kapsamında düzenlenen törende </w:t>
      </w:r>
      <w:r w:rsidRPr="00A4551C">
        <w:rPr>
          <w:bCs/>
          <w:sz w:val="24"/>
          <w:szCs w:val="20"/>
        </w:rPr>
        <w:t>Arçelik Kompresör İşletmesi’nin verimlilik artırıcı projesi Enerji</w:t>
      </w:r>
      <w:r w:rsidR="001822CE">
        <w:rPr>
          <w:bCs/>
          <w:sz w:val="24"/>
          <w:szCs w:val="20"/>
        </w:rPr>
        <w:t xml:space="preserve"> ve Tabii Kaynaklar</w:t>
      </w:r>
      <w:r w:rsidRPr="00A4551C">
        <w:rPr>
          <w:bCs/>
          <w:sz w:val="24"/>
          <w:szCs w:val="20"/>
        </w:rPr>
        <w:t xml:space="preserve"> Bakanlığı tarafından Başarı Plaketine layık görüldü.</w:t>
      </w:r>
      <w:r w:rsidR="00E9321B">
        <w:rPr>
          <w:bCs/>
          <w:sz w:val="24"/>
          <w:szCs w:val="20"/>
        </w:rPr>
        <w:t xml:space="preserve"> Arçelik ayrıca </w:t>
      </w:r>
      <w:r w:rsidR="00E9321B" w:rsidRPr="00A4551C">
        <w:rPr>
          <w:bCs/>
          <w:sz w:val="24"/>
          <w:szCs w:val="20"/>
        </w:rPr>
        <w:t>Enerji Bakanlığı’nın Enerji Verimli Danışmanlık Şirketi (EVD) statüsünü kazandı</w:t>
      </w:r>
      <w:r w:rsidR="00E9321B">
        <w:rPr>
          <w:bCs/>
          <w:sz w:val="24"/>
          <w:szCs w:val="20"/>
        </w:rPr>
        <w:t xml:space="preserve">. </w:t>
      </w:r>
    </w:p>
    <w:p w14:paraId="15EFA591" w14:textId="77777777" w:rsidR="00A4551C" w:rsidRPr="00A4551C" w:rsidRDefault="00A4551C" w:rsidP="00A4551C">
      <w:pPr>
        <w:jc w:val="both"/>
        <w:rPr>
          <w:bCs/>
          <w:sz w:val="24"/>
          <w:szCs w:val="20"/>
        </w:rPr>
      </w:pPr>
    </w:p>
    <w:p w14:paraId="6AD65320" w14:textId="2DA9BE2E" w:rsidR="00A4551C" w:rsidRDefault="00A4551C" w:rsidP="00A4551C">
      <w:pPr>
        <w:jc w:val="both"/>
        <w:rPr>
          <w:sz w:val="24"/>
          <w:szCs w:val="20"/>
        </w:rPr>
      </w:pPr>
      <w:r w:rsidRPr="00A4551C">
        <w:rPr>
          <w:sz w:val="24"/>
          <w:szCs w:val="20"/>
        </w:rPr>
        <w:t xml:space="preserve">Arçelik Kurumsal Çözümler </w:t>
      </w:r>
      <w:r>
        <w:rPr>
          <w:sz w:val="24"/>
          <w:szCs w:val="20"/>
        </w:rPr>
        <w:t>Grubu’nun</w:t>
      </w:r>
      <w:r w:rsidR="00E9321B">
        <w:rPr>
          <w:sz w:val="24"/>
          <w:szCs w:val="20"/>
        </w:rPr>
        <w:t xml:space="preserve"> etkinlikte yer alan</w:t>
      </w:r>
      <w:r>
        <w:rPr>
          <w:sz w:val="24"/>
          <w:szCs w:val="20"/>
        </w:rPr>
        <w:t xml:space="preserve"> standında </w:t>
      </w:r>
      <w:r w:rsidRPr="00A4551C">
        <w:rPr>
          <w:sz w:val="24"/>
          <w:szCs w:val="20"/>
        </w:rPr>
        <w:t>enerji çözümleri</w:t>
      </w:r>
      <w:r>
        <w:rPr>
          <w:sz w:val="24"/>
          <w:szCs w:val="20"/>
        </w:rPr>
        <w:t>n</w:t>
      </w:r>
      <w:r w:rsidRPr="00A4551C">
        <w:rPr>
          <w:sz w:val="24"/>
          <w:szCs w:val="20"/>
        </w:rPr>
        <w:t>den VRF sistem klimalar</w:t>
      </w:r>
      <w:r w:rsidR="00E9321B">
        <w:rPr>
          <w:sz w:val="24"/>
          <w:szCs w:val="20"/>
        </w:rPr>
        <w:t>a,</w:t>
      </w:r>
      <w:r w:rsidRPr="00A4551C">
        <w:rPr>
          <w:sz w:val="24"/>
          <w:szCs w:val="20"/>
        </w:rPr>
        <w:t xml:space="preserve"> ısı pompaları</w:t>
      </w:r>
      <w:r>
        <w:rPr>
          <w:sz w:val="24"/>
          <w:szCs w:val="20"/>
        </w:rPr>
        <w:t>ndan</w:t>
      </w:r>
      <w:r w:rsidRPr="00A4551C">
        <w:rPr>
          <w:sz w:val="24"/>
          <w:szCs w:val="20"/>
        </w:rPr>
        <w:t xml:space="preserve"> </w:t>
      </w:r>
      <w:proofErr w:type="spellStart"/>
      <w:r w:rsidRPr="00A4551C">
        <w:rPr>
          <w:sz w:val="24"/>
          <w:szCs w:val="20"/>
        </w:rPr>
        <w:t>Chiller</w:t>
      </w:r>
      <w:proofErr w:type="spellEnd"/>
      <w:r w:rsidRPr="00A4551C">
        <w:rPr>
          <w:sz w:val="24"/>
          <w:szCs w:val="20"/>
        </w:rPr>
        <w:t xml:space="preserve"> &amp; </w:t>
      </w:r>
      <w:proofErr w:type="spellStart"/>
      <w:r w:rsidRPr="00A4551C">
        <w:rPr>
          <w:sz w:val="24"/>
          <w:szCs w:val="20"/>
        </w:rPr>
        <w:t>Fancoil</w:t>
      </w:r>
      <w:proofErr w:type="spellEnd"/>
      <w:r w:rsidRPr="00A4551C">
        <w:rPr>
          <w:sz w:val="24"/>
          <w:szCs w:val="20"/>
        </w:rPr>
        <w:t xml:space="preserve"> </w:t>
      </w:r>
      <w:proofErr w:type="spellStart"/>
      <w:r w:rsidRPr="00A4551C">
        <w:rPr>
          <w:sz w:val="24"/>
          <w:szCs w:val="20"/>
        </w:rPr>
        <w:t>applied</w:t>
      </w:r>
      <w:proofErr w:type="spellEnd"/>
      <w:r w:rsidRPr="00A4551C">
        <w:rPr>
          <w:sz w:val="24"/>
          <w:szCs w:val="20"/>
        </w:rPr>
        <w:t xml:space="preserve"> ürünler</w:t>
      </w:r>
      <w:r>
        <w:rPr>
          <w:sz w:val="24"/>
          <w:szCs w:val="20"/>
        </w:rPr>
        <w:t>i</w:t>
      </w:r>
      <w:r w:rsidR="00E9321B">
        <w:rPr>
          <w:sz w:val="24"/>
          <w:szCs w:val="20"/>
        </w:rPr>
        <w:t>ne</w:t>
      </w:r>
      <w:r w:rsidRPr="00A4551C">
        <w:rPr>
          <w:sz w:val="24"/>
          <w:szCs w:val="20"/>
        </w:rPr>
        <w:t>, solar enerji sistemleri</w:t>
      </w:r>
      <w:r>
        <w:rPr>
          <w:sz w:val="24"/>
          <w:szCs w:val="20"/>
        </w:rPr>
        <w:t>nden</w:t>
      </w:r>
      <w:r w:rsidRPr="00A4551C">
        <w:rPr>
          <w:sz w:val="24"/>
          <w:szCs w:val="20"/>
        </w:rPr>
        <w:t xml:space="preserve"> aydınlatma </w:t>
      </w:r>
      <w:proofErr w:type="gramStart"/>
      <w:r w:rsidRPr="00A4551C">
        <w:rPr>
          <w:sz w:val="24"/>
          <w:szCs w:val="20"/>
        </w:rPr>
        <w:t>ürünleri</w:t>
      </w:r>
      <w:r>
        <w:rPr>
          <w:sz w:val="24"/>
          <w:szCs w:val="20"/>
        </w:rPr>
        <w:t xml:space="preserve">ne </w:t>
      </w:r>
      <w:r w:rsidRPr="00A4551C">
        <w:rPr>
          <w:sz w:val="24"/>
          <w:szCs w:val="20"/>
        </w:rPr>
        <w:t>,</w:t>
      </w:r>
      <w:proofErr w:type="gramEnd"/>
      <w:r w:rsidRPr="00A4551C">
        <w:rPr>
          <w:sz w:val="24"/>
          <w:szCs w:val="20"/>
        </w:rPr>
        <w:t xml:space="preserve"> mühendislik &amp; entegre çözümler ve ticari klimalar</w:t>
      </w:r>
      <w:r w:rsidR="00E9321B">
        <w:rPr>
          <w:sz w:val="24"/>
          <w:szCs w:val="20"/>
        </w:rPr>
        <w:t>a kadar bir çok ürün sergilendi.</w:t>
      </w:r>
      <w:r w:rsidRPr="00A4551C">
        <w:rPr>
          <w:sz w:val="24"/>
          <w:szCs w:val="20"/>
        </w:rPr>
        <w:t xml:space="preserve"> </w:t>
      </w:r>
      <w:r w:rsidRPr="00A4551C">
        <w:rPr>
          <w:bCs/>
          <w:sz w:val="24"/>
          <w:szCs w:val="20"/>
        </w:rPr>
        <w:t xml:space="preserve">Enerji ve Tabii Kaynaklar Bakanı Fatih </w:t>
      </w:r>
      <w:proofErr w:type="spellStart"/>
      <w:r w:rsidRPr="00A4551C">
        <w:rPr>
          <w:bCs/>
          <w:sz w:val="24"/>
          <w:szCs w:val="20"/>
        </w:rPr>
        <w:t>Dönmez</w:t>
      </w:r>
      <w:r>
        <w:rPr>
          <w:sz w:val="24"/>
          <w:szCs w:val="20"/>
        </w:rPr>
        <w:t>’in</w:t>
      </w:r>
      <w:proofErr w:type="spellEnd"/>
      <w:r>
        <w:rPr>
          <w:sz w:val="24"/>
          <w:szCs w:val="20"/>
        </w:rPr>
        <w:t xml:space="preserve"> ziyaret ettiği </w:t>
      </w:r>
      <w:r w:rsidRPr="00A4551C">
        <w:rPr>
          <w:sz w:val="24"/>
          <w:szCs w:val="20"/>
        </w:rPr>
        <w:t xml:space="preserve">Arçelik Kurumsal Çözümler standı ziyaretçilerin yoğun ilgisini </w:t>
      </w:r>
      <w:r>
        <w:rPr>
          <w:sz w:val="24"/>
          <w:szCs w:val="20"/>
        </w:rPr>
        <w:t>topladı.</w:t>
      </w:r>
      <w:r w:rsidRPr="00A4551C">
        <w:rPr>
          <w:sz w:val="24"/>
          <w:szCs w:val="20"/>
        </w:rPr>
        <w:t xml:space="preserve"> Arçelik</w:t>
      </w:r>
      <w:r w:rsidR="00E9321B">
        <w:rPr>
          <w:sz w:val="24"/>
          <w:szCs w:val="20"/>
        </w:rPr>
        <w:t>, sektörü bir araya getiren fuarda</w:t>
      </w:r>
      <w:r w:rsidRPr="00A4551C">
        <w:rPr>
          <w:sz w:val="24"/>
          <w:szCs w:val="20"/>
        </w:rPr>
        <w:t xml:space="preserve"> yenilenebilir enerji, verimlilik ve sürdürülebilirlik konularındaki öncü çalışmalarını sunma fırsatı</w:t>
      </w:r>
      <w:r w:rsidR="00E9321B">
        <w:rPr>
          <w:sz w:val="24"/>
          <w:szCs w:val="20"/>
        </w:rPr>
        <w:t xml:space="preserve"> yakaladı. </w:t>
      </w:r>
      <w:r w:rsidRPr="00A4551C">
        <w:rPr>
          <w:sz w:val="24"/>
          <w:szCs w:val="20"/>
        </w:rPr>
        <w:t xml:space="preserve"> </w:t>
      </w:r>
    </w:p>
    <w:p w14:paraId="1CA19FCE" w14:textId="77777777" w:rsidR="00A4551C" w:rsidRDefault="00A4551C" w:rsidP="00A4551C">
      <w:pPr>
        <w:jc w:val="both"/>
        <w:rPr>
          <w:sz w:val="24"/>
          <w:szCs w:val="20"/>
        </w:rPr>
      </w:pPr>
    </w:p>
    <w:p w14:paraId="74DE655B" w14:textId="2151760E" w:rsidR="00A4551C" w:rsidRPr="00A4551C" w:rsidRDefault="00A4551C" w:rsidP="00A4551C">
      <w:pPr>
        <w:jc w:val="both"/>
        <w:rPr>
          <w:sz w:val="24"/>
          <w:szCs w:val="20"/>
        </w:rPr>
      </w:pPr>
      <w:r w:rsidRPr="00A4551C">
        <w:rPr>
          <w:sz w:val="24"/>
          <w:szCs w:val="20"/>
        </w:rPr>
        <w:t>Enerji verimliliği bilincini geliştirmek ve bu alandaki uzmanların profesyonel deneyimleriyle de birlikte enerji verimliliği alanında gelişmeler sağlamak amacıyla fuar ve forumu aynı çatı altında toplayan EVF, sektörün lider firmalarını ve önde gelen isimlerini, kamu, özel sektör ve sivil toplum kuruluşlarını bir araya getir</w:t>
      </w:r>
      <w:r w:rsidR="00E9321B">
        <w:rPr>
          <w:sz w:val="24"/>
          <w:szCs w:val="20"/>
        </w:rPr>
        <w:t>di</w:t>
      </w:r>
      <w:r w:rsidRPr="00A4551C">
        <w:rPr>
          <w:sz w:val="24"/>
          <w:szCs w:val="20"/>
        </w:rPr>
        <w:t xml:space="preserve">. </w:t>
      </w:r>
    </w:p>
    <w:p w14:paraId="12E33D1C" w14:textId="77777777" w:rsidR="00A4551C" w:rsidRPr="00A4551C" w:rsidRDefault="00A4551C" w:rsidP="00A4551C">
      <w:pPr>
        <w:jc w:val="both"/>
        <w:rPr>
          <w:sz w:val="24"/>
          <w:szCs w:val="20"/>
        </w:rPr>
      </w:pPr>
    </w:p>
    <w:p w14:paraId="234B277A" w14:textId="47C51E7D" w:rsidR="00C450E0" w:rsidRDefault="00C450E0" w:rsidP="00A4551C">
      <w:pPr>
        <w:pStyle w:val="AralkYok"/>
        <w:spacing w:line="276" w:lineRule="auto"/>
        <w:jc w:val="both"/>
        <w:rPr>
          <w:rFonts w:eastAsiaTheme="minorHAnsi" w:cs="Calibri"/>
          <w:sz w:val="24"/>
          <w:szCs w:val="24"/>
        </w:rPr>
      </w:pPr>
    </w:p>
    <w:p w14:paraId="702F6BF6" w14:textId="664DB24D" w:rsidR="00A4551C" w:rsidRDefault="00A4551C" w:rsidP="00A4551C">
      <w:pPr>
        <w:pStyle w:val="AralkYok"/>
        <w:spacing w:line="276" w:lineRule="auto"/>
        <w:jc w:val="both"/>
        <w:rPr>
          <w:rFonts w:eastAsiaTheme="minorHAnsi" w:cs="Calibri"/>
          <w:sz w:val="24"/>
          <w:szCs w:val="24"/>
        </w:rPr>
      </w:pPr>
      <w:bookmarkStart w:id="0" w:name="_GoBack"/>
      <w:bookmarkEnd w:id="0"/>
    </w:p>
    <w:sectPr w:rsidR="00A4551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1A99E" w14:textId="77777777" w:rsidR="007A613C" w:rsidRDefault="007A613C" w:rsidP="004151F8">
      <w:r>
        <w:separator/>
      </w:r>
    </w:p>
  </w:endnote>
  <w:endnote w:type="continuationSeparator" w:id="0">
    <w:p w14:paraId="65BA9C2E" w14:textId="77777777" w:rsidR="007A613C" w:rsidRDefault="007A613C"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01"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2783" w14:textId="7D0B77DF" w:rsidR="008A6578" w:rsidRDefault="00414CED">
    <w:pPr>
      <w:pStyle w:val="AltBilgi"/>
      <w:jc w:val="center"/>
    </w:pPr>
    <w:r w:rsidRPr="00537A99">
      <w:rPr>
        <w:rFonts w:ascii="Helvetica Light" w:hAnsi="Helvetica Light" w:cs="Times New Roman"/>
        <w:noProof/>
        <w:sz w:val="24"/>
        <w:szCs w:val="24"/>
        <w:lang w:eastAsia="tr-TR"/>
      </w:rPr>
      <w:drawing>
        <wp:anchor distT="0" distB="0" distL="114300" distR="114300" simplePos="0" relativeHeight="251658240" behindDoc="0" locked="0" layoutInCell="1" allowOverlap="1" wp14:anchorId="234B2785" wp14:editId="3C02A743">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14:paraId="234B2784" w14:textId="77777777" w:rsidR="004B1C7A" w:rsidRDefault="004B1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FE00" w14:textId="77777777" w:rsidR="007A613C" w:rsidRDefault="007A613C" w:rsidP="004151F8">
      <w:r>
        <w:separator/>
      </w:r>
    </w:p>
  </w:footnote>
  <w:footnote w:type="continuationSeparator" w:id="0">
    <w:p w14:paraId="291939FD" w14:textId="77777777" w:rsidR="007A613C" w:rsidRDefault="007A613C"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CE438A"/>
    <w:multiLevelType w:val="multilevel"/>
    <w:tmpl w:val="69F67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7"/>
  </w:num>
  <w:num w:numId="4">
    <w:abstractNumId w:val="10"/>
  </w:num>
  <w:num w:numId="5">
    <w:abstractNumId w:val="1"/>
  </w:num>
  <w:num w:numId="6">
    <w:abstractNumId w:val="5"/>
  </w:num>
  <w:num w:numId="7">
    <w:abstractNumId w:val="0"/>
  </w:num>
  <w:num w:numId="8">
    <w:abstractNumId w:val="9"/>
  </w:num>
  <w:num w:numId="9">
    <w:abstractNumId w:val="11"/>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69"/>
    <w:rsid w:val="000114EA"/>
    <w:rsid w:val="00012C1B"/>
    <w:rsid w:val="00021643"/>
    <w:rsid w:val="00025AA9"/>
    <w:rsid w:val="00027455"/>
    <w:rsid w:val="00031A3C"/>
    <w:rsid w:val="00035846"/>
    <w:rsid w:val="00040FDE"/>
    <w:rsid w:val="0005274F"/>
    <w:rsid w:val="00052D29"/>
    <w:rsid w:val="0005357B"/>
    <w:rsid w:val="00063A85"/>
    <w:rsid w:val="0009364A"/>
    <w:rsid w:val="000B7482"/>
    <w:rsid w:val="000C595C"/>
    <w:rsid w:val="000D296A"/>
    <w:rsid w:val="000D4D35"/>
    <w:rsid w:val="000F191B"/>
    <w:rsid w:val="001000F6"/>
    <w:rsid w:val="001115D8"/>
    <w:rsid w:val="00147548"/>
    <w:rsid w:val="00152A85"/>
    <w:rsid w:val="00154AEB"/>
    <w:rsid w:val="00161BB1"/>
    <w:rsid w:val="00161CEE"/>
    <w:rsid w:val="00181D7E"/>
    <w:rsid w:val="001822CE"/>
    <w:rsid w:val="001839EE"/>
    <w:rsid w:val="00183EFE"/>
    <w:rsid w:val="001853EF"/>
    <w:rsid w:val="001940D8"/>
    <w:rsid w:val="00194623"/>
    <w:rsid w:val="00194AD5"/>
    <w:rsid w:val="001B732D"/>
    <w:rsid w:val="001C074D"/>
    <w:rsid w:val="001C6E1E"/>
    <w:rsid w:val="001C7195"/>
    <w:rsid w:val="001D2F95"/>
    <w:rsid w:val="001E24B1"/>
    <w:rsid w:val="00201CC3"/>
    <w:rsid w:val="00214966"/>
    <w:rsid w:val="00237342"/>
    <w:rsid w:val="0025697E"/>
    <w:rsid w:val="00260D2C"/>
    <w:rsid w:val="002614CB"/>
    <w:rsid w:val="002660B3"/>
    <w:rsid w:val="00271C06"/>
    <w:rsid w:val="00290C76"/>
    <w:rsid w:val="002A53CD"/>
    <w:rsid w:val="002B065A"/>
    <w:rsid w:val="002C6ACD"/>
    <w:rsid w:val="002D4CF4"/>
    <w:rsid w:val="002D555E"/>
    <w:rsid w:val="002E1B46"/>
    <w:rsid w:val="002F19E2"/>
    <w:rsid w:val="00303198"/>
    <w:rsid w:val="00307B0B"/>
    <w:rsid w:val="003169A7"/>
    <w:rsid w:val="0031751B"/>
    <w:rsid w:val="00325AF7"/>
    <w:rsid w:val="00331445"/>
    <w:rsid w:val="003327F1"/>
    <w:rsid w:val="00343F8C"/>
    <w:rsid w:val="003458B9"/>
    <w:rsid w:val="00352FFE"/>
    <w:rsid w:val="00363CAC"/>
    <w:rsid w:val="003644B5"/>
    <w:rsid w:val="00371CD6"/>
    <w:rsid w:val="00377706"/>
    <w:rsid w:val="00383ED6"/>
    <w:rsid w:val="0039234F"/>
    <w:rsid w:val="003B0594"/>
    <w:rsid w:val="003C0E74"/>
    <w:rsid w:val="003D0011"/>
    <w:rsid w:val="003D193A"/>
    <w:rsid w:val="003D2CF4"/>
    <w:rsid w:val="00400399"/>
    <w:rsid w:val="004034A8"/>
    <w:rsid w:val="00414CED"/>
    <w:rsid w:val="004151F8"/>
    <w:rsid w:val="0042071A"/>
    <w:rsid w:val="00434B21"/>
    <w:rsid w:val="0043625F"/>
    <w:rsid w:val="00442D31"/>
    <w:rsid w:val="00456A3D"/>
    <w:rsid w:val="004802DD"/>
    <w:rsid w:val="00484523"/>
    <w:rsid w:val="004A0EFC"/>
    <w:rsid w:val="004B1C7A"/>
    <w:rsid w:val="004B2B27"/>
    <w:rsid w:val="004C1A15"/>
    <w:rsid w:val="004C2DE9"/>
    <w:rsid w:val="004C55B5"/>
    <w:rsid w:val="004C6D1C"/>
    <w:rsid w:val="004C7FD3"/>
    <w:rsid w:val="004F42D9"/>
    <w:rsid w:val="00503096"/>
    <w:rsid w:val="00503C6C"/>
    <w:rsid w:val="0050552D"/>
    <w:rsid w:val="00512AE8"/>
    <w:rsid w:val="00516AAA"/>
    <w:rsid w:val="00517F40"/>
    <w:rsid w:val="00525AEC"/>
    <w:rsid w:val="005329AA"/>
    <w:rsid w:val="00535EA7"/>
    <w:rsid w:val="0053772C"/>
    <w:rsid w:val="00542ACD"/>
    <w:rsid w:val="00542E33"/>
    <w:rsid w:val="00553333"/>
    <w:rsid w:val="005745A1"/>
    <w:rsid w:val="005750A8"/>
    <w:rsid w:val="00576979"/>
    <w:rsid w:val="0058278C"/>
    <w:rsid w:val="005A07BA"/>
    <w:rsid w:val="005A6AE6"/>
    <w:rsid w:val="005C020B"/>
    <w:rsid w:val="005C2CBA"/>
    <w:rsid w:val="005D34F1"/>
    <w:rsid w:val="005E40E9"/>
    <w:rsid w:val="005F0301"/>
    <w:rsid w:val="005F207D"/>
    <w:rsid w:val="005F6BCE"/>
    <w:rsid w:val="0060764F"/>
    <w:rsid w:val="00626B08"/>
    <w:rsid w:val="0062778E"/>
    <w:rsid w:val="00635831"/>
    <w:rsid w:val="006431DA"/>
    <w:rsid w:val="00645D2D"/>
    <w:rsid w:val="0065303C"/>
    <w:rsid w:val="0065335B"/>
    <w:rsid w:val="00665E6A"/>
    <w:rsid w:val="006663AA"/>
    <w:rsid w:val="00670836"/>
    <w:rsid w:val="00670E96"/>
    <w:rsid w:val="006742AA"/>
    <w:rsid w:val="0068068C"/>
    <w:rsid w:val="00681552"/>
    <w:rsid w:val="006C6E36"/>
    <w:rsid w:val="006E07E2"/>
    <w:rsid w:val="006F18F3"/>
    <w:rsid w:val="006F1BD4"/>
    <w:rsid w:val="006F7036"/>
    <w:rsid w:val="006F7C15"/>
    <w:rsid w:val="00702DE6"/>
    <w:rsid w:val="007172AD"/>
    <w:rsid w:val="0072593A"/>
    <w:rsid w:val="00743150"/>
    <w:rsid w:val="00747D6A"/>
    <w:rsid w:val="007559C2"/>
    <w:rsid w:val="007637F9"/>
    <w:rsid w:val="007668F9"/>
    <w:rsid w:val="007711B0"/>
    <w:rsid w:val="007713C1"/>
    <w:rsid w:val="00784D5A"/>
    <w:rsid w:val="00785257"/>
    <w:rsid w:val="007855A1"/>
    <w:rsid w:val="00785856"/>
    <w:rsid w:val="00795A70"/>
    <w:rsid w:val="00796ED4"/>
    <w:rsid w:val="007A07B4"/>
    <w:rsid w:val="007A613C"/>
    <w:rsid w:val="007B2083"/>
    <w:rsid w:val="007F1C40"/>
    <w:rsid w:val="007F3043"/>
    <w:rsid w:val="007F4DBD"/>
    <w:rsid w:val="00801F66"/>
    <w:rsid w:val="008052D6"/>
    <w:rsid w:val="008234F4"/>
    <w:rsid w:val="00835C6E"/>
    <w:rsid w:val="00845418"/>
    <w:rsid w:val="00877161"/>
    <w:rsid w:val="008872F8"/>
    <w:rsid w:val="008977F7"/>
    <w:rsid w:val="008A3F0F"/>
    <w:rsid w:val="008A59CB"/>
    <w:rsid w:val="008A6578"/>
    <w:rsid w:val="008B02CC"/>
    <w:rsid w:val="008C5303"/>
    <w:rsid w:val="008D05A5"/>
    <w:rsid w:val="008E0E88"/>
    <w:rsid w:val="008E4847"/>
    <w:rsid w:val="008F0CDD"/>
    <w:rsid w:val="008F4B43"/>
    <w:rsid w:val="00900E42"/>
    <w:rsid w:val="00912A75"/>
    <w:rsid w:val="00923E42"/>
    <w:rsid w:val="00933DA7"/>
    <w:rsid w:val="00944CEE"/>
    <w:rsid w:val="00954E69"/>
    <w:rsid w:val="009550E8"/>
    <w:rsid w:val="009817C5"/>
    <w:rsid w:val="009902D5"/>
    <w:rsid w:val="00990A9F"/>
    <w:rsid w:val="009B2B7C"/>
    <w:rsid w:val="009B5E5D"/>
    <w:rsid w:val="009C0567"/>
    <w:rsid w:val="009C0CED"/>
    <w:rsid w:val="009C16FB"/>
    <w:rsid w:val="009E05E7"/>
    <w:rsid w:val="009F6C67"/>
    <w:rsid w:val="00A02D8D"/>
    <w:rsid w:val="00A14FB2"/>
    <w:rsid w:val="00A32D35"/>
    <w:rsid w:val="00A4292A"/>
    <w:rsid w:val="00A4551C"/>
    <w:rsid w:val="00A5268C"/>
    <w:rsid w:val="00A71340"/>
    <w:rsid w:val="00A80AD8"/>
    <w:rsid w:val="00A9026D"/>
    <w:rsid w:val="00A9616F"/>
    <w:rsid w:val="00AB14D5"/>
    <w:rsid w:val="00AB5851"/>
    <w:rsid w:val="00AD5109"/>
    <w:rsid w:val="00AD7BEF"/>
    <w:rsid w:val="00B039DB"/>
    <w:rsid w:val="00B03B32"/>
    <w:rsid w:val="00B17AA8"/>
    <w:rsid w:val="00B257B9"/>
    <w:rsid w:val="00B42C0E"/>
    <w:rsid w:val="00B46A79"/>
    <w:rsid w:val="00B503C0"/>
    <w:rsid w:val="00B50BCB"/>
    <w:rsid w:val="00B550A6"/>
    <w:rsid w:val="00B62560"/>
    <w:rsid w:val="00B704DC"/>
    <w:rsid w:val="00B870BE"/>
    <w:rsid w:val="00B95E69"/>
    <w:rsid w:val="00B97144"/>
    <w:rsid w:val="00BA43F0"/>
    <w:rsid w:val="00BB79F5"/>
    <w:rsid w:val="00BC37D6"/>
    <w:rsid w:val="00BC52D0"/>
    <w:rsid w:val="00BD597F"/>
    <w:rsid w:val="00BD6B83"/>
    <w:rsid w:val="00BE1601"/>
    <w:rsid w:val="00BE1B28"/>
    <w:rsid w:val="00C00ED9"/>
    <w:rsid w:val="00C450E0"/>
    <w:rsid w:val="00C7246A"/>
    <w:rsid w:val="00C81683"/>
    <w:rsid w:val="00CB11FE"/>
    <w:rsid w:val="00CB2857"/>
    <w:rsid w:val="00CB3612"/>
    <w:rsid w:val="00CB455C"/>
    <w:rsid w:val="00CC518E"/>
    <w:rsid w:val="00D0273C"/>
    <w:rsid w:val="00D037A1"/>
    <w:rsid w:val="00D102F4"/>
    <w:rsid w:val="00D1590A"/>
    <w:rsid w:val="00D260D2"/>
    <w:rsid w:val="00D3064B"/>
    <w:rsid w:val="00D32E78"/>
    <w:rsid w:val="00D363D7"/>
    <w:rsid w:val="00D407E9"/>
    <w:rsid w:val="00D47635"/>
    <w:rsid w:val="00D63320"/>
    <w:rsid w:val="00D70D1B"/>
    <w:rsid w:val="00D80E3C"/>
    <w:rsid w:val="00D862EF"/>
    <w:rsid w:val="00DC4657"/>
    <w:rsid w:val="00DD5645"/>
    <w:rsid w:val="00DD7EF6"/>
    <w:rsid w:val="00DF7166"/>
    <w:rsid w:val="00E101E9"/>
    <w:rsid w:val="00E14FF8"/>
    <w:rsid w:val="00E16C5C"/>
    <w:rsid w:val="00E312C3"/>
    <w:rsid w:val="00E4018B"/>
    <w:rsid w:val="00E50BDD"/>
    <w:rsid w:val="00E60EAD"/>
    <w:rsid w:val="00E615DD"/>
    <w:rsid w:val="00E632DE"/>
    <w:rsid w:val="00E70A29"/>
    <w:rsid w:val="00E765F9"/>
    <w:rsid w:val="00E76ADC"/>
    <w:rsid w:val="00E8627F"/>
    <w:rsid w:val="00E9321B"/>
    <w:rsid w:val="00EA0AED"/>
    <w:rsid w:val="00EA296E"/>
    <w:rsid w:val="00EB2DAC"/>
    <w:rsid w:val="00EC0D4A"/>
    <w:rsid w:val="00EC265E"/>
    <w:rsid w:val="00EF6700"/>
    <w:rsid w:val="00F00F40"/>
    <w:rsid w:val="00F03FCE"/>
    <w:rsid w:val="00F16781"/>
    <w:rsid w:val="00F22138"/>
    <w:rsid w:val="00F223AE"/>
    <w:rsid w:val="00F23149"/>
    <w:rsid w:val="00F23B1C"/>
    <w:rsid w:val="00F26A0F"/>
    <w:rsid w:val="00F359F5"/>
    <w:rsid w:val="00F3628E"/>
    <w:rsid w:val="00F40C83"/>
    <w:rsid w:val="00F76BCC"/>
    <w:rsid w:val="00F76D4F"/>
    <w:rsid w:val="00FA0305"/>
    <w:rsid w:val="00FA2A0F"/>
    <w:rsid w:val="00FA5748"/>
    <w:rsid w:val="00FB6400"/>
    <w:rsid w:val="00FB757F"/>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B275B"/>
  <w15:docId w15:val="{1151836B-B9B7-4281-94C8-07379C2D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479618354">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32165900">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4582546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19825299">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4642-521D-4A66-B51C-27EFB0AD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291</Words>
  <Characters>1663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10</cp:revision>
  <cp:lastPrinted>2018-10-17T13:17:00Z</cp:lastPrinted>
  <dcterms:created xsi:type="dcterms:W3CDTF">2019-02-19T14:10:00Z</dcterms:created>
  <dcterms:modified xsi:type="dcterms:W3CDTF">2019-04-12T10:55:00Z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