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29F2E3" w14:textId="4BCF8037" w:rsidR="00C927FE" w:rsidRPr="00A667BB" w:rsidRDefault="00C927FE" w:rsidP="00C927FE">
      <w:pPr>
        <w:jc w:val="both"/>
        <w:rPr>
          <w:i/>
          <w:iCs/>
          <w:highlight w:val="yellow"/>
          <w:lang w:val="en-GB"/>
        </w:rPr>
      </w:pPr>
    </w:p>
    <w:p w14:paraId="065489A8" w14:textId="2CF08ECF" w:rsidR="00546FC1" w:rsidRPr="00A667BB" w:rsidRDefault="00C927FE" w:rsidP="00066A76">
      <w:pPr>
        <w:jc w:val="center"/>
        <w:rPr>
          <w:b/>
          <w:bCs/>
          <w:lang w:val="en-GB"/>
        </w:rPr>
      </w:pPr>
      <w:r w:rsidRPr="00A667BB">
        <w:rPr>
          <w:b/>
          <w:bCs/>
          <w:lang w:val="en-GB"/>
        </w:rPr>
        <w:t xml:space="preserve">ARÇELİK </w:t>
      </w:r>
      <w:r w:rsidR="00066A76" w:rsidRPr="00A667BB">
        <w:rPr>
          <w:b/>
          <w:bCs/>
          <w:lang w:val="en-GB"/>
        </w:rPr>
        <w:t>A.</w:t>
      </w:r>
      <w:r w:rsidRPr="00A667BB">
        <w:rPr>
          <w:b/>
          <w:bCs/>
          <w:lang w:val="en-GB"/>
        </w:rPr>
        <w:t>Ş.</w:t>
      </w:r>
      <w:r w:rsidR="0E4EE3F1" w:rsidRPr="00A667BB">
        <w:rPr>
          <w:b/>
          <w:bCs/>
          <w:lang w:val="en-GB"/>
        </w:rPr>
        <w:t xml:space="preserve"> RECOGNISED FOR ENVIRONMENTAL LEADERSHIP ON CLIMATE AND WATER</w:t>
      </w:r>
    </w:p>
    <w:p w14:paraId="0EC49E1A" w14:textId="401FEC3C" w:rsidR="00546FC1" w:rsidRPr="00A667BB" w:rsidRDefault="00321018" w:rsidP="00C959A7">
      <w:pPr>
        <w:rPr>
          <w:lang w:val="en-GB"/>
        </w:rPr>
      </w:pPr>
      <w:r w:rsidRPr="00A667BB">
        <w:rPr>
          <w:rFonts w:ascii="Helvetica" w:hAnsi="Helvetica" w:cs="Helvetica"/>
          <w:lang w:val="en-GB"/>
        </w:rPr>
        <w:t>Arçelik A.Ş.</w:t>
      </w:r>
      <w:r w:rsidR="00066A76" w:rsidRPr="00A667BB">
        <w:rPr>
          <w:rFonts w:ascii="Helvetica" w:hAnsi="Helvetica" w:cs="Helvetica"/>
          <w:lang w:val="en-GB"/>
        </w:rPr>
        <w:t>, leading global household appliances manufacturer and mother company of Beko and Grundig</w:t>
      </w:r>
      <w:r w:rsidR="00066A76" w:rsidRPr="00A667BB">
        <w:rPr>
          <w:lang w:val="en-GB"/>
        </w:rPr>
        <w:t xml:space="preserve">, </w:t>
      </w:r>
      <w:r w:rsidR="0E4EE3F1" w:rsidRPr="00A667BB">
        <w:rPr>
          <w:lang w:val="en-GB"/>
        </w:rPr>
        <w:t>has been identified as a global leader in corporate sustainability and has been awarded a position on this year’s A List for climate and water by CDP, the non-profit global environmental disclosure platform.</w:t>
      </w:r>
      <w:r w:rsidR="000827D9">
        <w:rPr>
          <w:lang w:val="en-GB"/>
        </w:rPr>
        <w:t xml:space="preserve"> </w:t>
      </w:r>
    </w:p>
    <w:p w14:paraId="2981B34D" w14:textId="3586A215" w:rsidR="00B23B24" w:rsidRPr="00A667BB" w:rsidRDefault="0472C1AC" w:rsidP="00C959A7">
      <w:pPr>
        <w:rPr>
          <w:lang w:val="en-GB"/>
        </w:rPr>
      </w:pPr>
      <w:r w:rsidRPr="00A667BB">
        <w:rPr>
          <w:lang w:val="en-GB"/>
        </w:rPr>
        <w:t>CDP publishes A-D scores across climate, water and forests for over 3,000 major corporates, with the leaders celebrated on the prestigious A List along with case studies. This is the first year that CDP has announced company scores across all three areas simult</w:t>
      </w:r>
      <w:r w:rsidR="00321018" w:rsidRPr="00A667BB">
        <w:rPr>
          <w:lang w:val="en-GB"/>
        </w:rPr>
        <w:t xml:space="preserve">aneously, reflecting a holistic </w:t>
      </w:r>
      <w:r w:rsidRPr="00A667BB">
        <w:rPr>
          <w:lang w:val="en-GB"/>
        </w:rPr>
        <w:t xml:space="preserve">approach to corporate sustainability.  </w:t>
      </w:r>
    </w:p>
    <w:p w14:paraId="3676D51E" w14:textId="4B09E304" w:rsidR="00546FC1" w:rsidRPr="00A667BB" w:rsidRDefault="00066A76" w:rsidP="00546FC1">
      <w:pPr>
        <w:rPr>
          <w:lang w:val="en-GB"/>
        </w:rPr>
      </w:pPr>
      <w:r w:rsidRPr="00A667BB">
        <w:rPr>
          <w:rFonts w:ascii="Helvetica" w:hAnsi="Helvetica" w:cs="Helvetica"/>
          <w:lang w:val="en-GB"/>
        </w:rPr>
        <w:t>Ar</w:t>
      </w:r>
      <w:r w:rsidR="00321018" w:rsidRPr="00A667BB">
        <w:rPr>
          <w:rFonts w:ascii="Helvetica" w:hAnsi="Helvetica" w:cs="Helvetica"/>
          <w:lang w:val="en-GB"/>
        </w:rPr>
        <w:t>ç</w:t>
      </w:r>
      <w:r w:rsidRPr="00A667BB">
        <w:rPr>
          <w:rFonts w:ascii="Helvetica" w:hAnsi="Helvetica" w:cs="Helvetica"/>
          <w:lang w:val="en-GB"/>
        </w:rPr>
        <w:t>elik A.</w:t>
      </w:r>
      <w:r w:rsidR="00E74A2D" w:rsidRPr="00A667BB">
        <w:rPr>
          <w:rFonts w:ascii="Helvetica" w:hAnsi="Helvetica" w:cs="Helvetica"/>
          <w:lang w:val="en-GB"/>
        </w:rPr>
        <w:t>Ş.</w:t>
      </w:r>
      <w:r w:rsidRPr="00A667BB">
        <w:rPr>
          <w:lang w:val="en-GB"/>
        </w:rPr>
        <w:t xml:space="preserve"> </w:t>
      </w:r>
      <w:r w:rsidR="00B0485E" w:rsidRPr="00A667BB">
        <w:rPr>
          <w:lang w:val="en-GB"/>
        </w:rPr>
        <w:t>is one of only 25</w:t>
      </w:r>
      <w:r w:rsidR="0E4EE3F1" w:rsidRPr="00A667BB">
        <w:rPr>
          <w:lang w:val="en-GB"/>
        </w:rPr>
        <w:t xml:space="preserve"> companies to score an A for both climate and water. This achievement is in recognition of its actions in the last reporting year to manage environmental risks, cut carbon emissions and enhance water stewardship.</w:t>
      </w:r>
    </w:p>
    <w:p w14:paraId="41CDF1A0" w14:textId="177F9A29" w:rsidR="00066A76" w:rsidRPr="00A667BB" w:rsidRDefault="00066A76" w:rsidP="00546FC1">
      <w:pPr>
        <w:rPr>
          <w:lang w:val="en-GB"/>
        </w:rPr>
      </w:pPr>
      <w:r w:rsidRPr="00A667BB">
        <w:rPr>
          <w:rFonts w:ascii="Helvetica" w:hAnsi="Helvetica" w:cs="Helvetica"/>
          <w:lang w:val="en-GB"/>
        </w:rPr>
        <w:t>Commenting on the achievement, Hakan Bulgurlu, Arçelik A.Ş. CEO said:</w:t>
      </w:r>
      <w:r w:rsidRPr="00A667BB">
        <w:rPr>
          <w:rFonts w:eastAsia="Times New Roman"/>
          <w:sz w:val="24"/>
          <w:szCs w:val="24"/>
          <w:lang w:val="en-GB" w:eastAsia="en-GB"/>
        </w:rPr>
        <w:t xml:space="preserve"> </w:t>
      </w:r>
      <w:r w:rsidRPr="00A667BB">
        <w:rPr>
          <w:i/>
          <w:iCs/>
          <w:lang w:val="en-GB"/>
        </w:rPr>
        <w:t>“</w:t>
      </w:r>
      <w:r w:rsidR="00BC11B2" w:rsidRPr="00A667BB">
        <w:rPr>
          <w:i/>
          <w:iCs/>
          <w:lang w:val="en-GB"/>
        </w:rPr>
        <w:t xml:space="preserve">We’re proud to be </w:t>
      </w:r>
      <w:r w:rsidR="00321018" w:rsidRPr="00A667BB">
        <w:rPr>
          <w:i/>
          <w:iCs/>
          <w:lang w:val="en-GB"/>
        </w:rPr>
        <w:t>recognized</w:t>
      </w:r>
      <w:r w:rsidR="004A7ACA" w:rsidRPr="00A667BB">
        <w:rPr>
          <w:i/>
          <w:iCs/>
          <w:lang w:val="en-GB"/>
        </w:rPr>
        <w:t xml:space="preserve"> for the role </w:t>
      </w:r>
      <w:r w:rsidR="00321018" w:rsidRPr="00A667BB">
        <w:rPr>
          <w:i/>
          <w:iCs/>
          <w:lang w:val="en-GB"/>
        </w:rPr>
        <w:t>Arçelik</w:t>
      </w:r>
      <w:r w:rsidR="004A7ACA" w:rsidRPr="00A667BB">
        <w:rPr>
          <w:i/>
          <w:iCs/>
          <w:lang w:val="en-GB"/>
        </w:rPr>
        <w:t xml:space="preserve"> is playing in combatting the global issue of climate change. </w:t>
      </w:r>
      <w:r w:rsidR="00BC11B2" w:rsidRPr="00A667BB">
        <w:rPr>
          <w:i/>
          <w:iCs/>
          <w:lang w:val="en-GB"/>
        </w:rPr>
        <w:t xml:space="preserve">Our low-transmission approach, combined with </w:t>
      </w:r>
      <w:r w:rsidR="00321018" w:rsidRPr="00A667BB">
        <w:rPr>
          <w:i/>
          <w:iCs/>
          <w:lang w:val="en-GB"/>
        </w:rPr>
        <w:t>our energy</w:t>
      </w:r>
      <w:r w:rsidR="005F4A30" w:rsidRPr="00A667BB">
        <w:rPr>
          <w:i/>
          <w:iCs/>
          <w:lang w:val="en-GB"/>
        </w:rPr>
        <w:t xml:space="preserve"> and water effic</w:t>
      </w:r>
      <w:r w:rsidR="00E74A2D" w:rsidRPr="00A667BB">
        <w:rPr>
          <w:i/>
          <w:iCs/>
          <w:lang w:val="en-GB"/>
        </w:rPr>
        <w:t>i</w:t>
      </w:r>
      <w:r w:rsidR="005F4A30" w:rsidRPr="00A667BB">
        <w:rPr>
          <w:i/>
          <w:iCs/>
          <w:lang w:val="en-GB"/>
        </w:rPr>
        <w:t xml:space="preserve">ent products, as well as our </w:t>
      </w:r>
      <w:r w:rsidR="004A7ACA" w:rsidRPr="00A667BB">
        <w:rPr>
          <w:i/>
          <w:iCs/>
          <w:lang w:val="en-GB"/>
        </w:rPr>
        <w:t xml:space="preserve">innovative methods in waste management and circular economy solutions have allowed us to continue to be listed on the CDP’s Global Climate A list for the third consecutive time. We’re </w:t>
      </w:r>
      <w:r w:rsidR="00321018" w:rsidRPr="00A667BB">
        <w:rPr>
          <w:i/>
          <w:iCs/>
          <w:lang w:val="en-GB"/>
        </w:rPr>
        <w:t>committed</w:t>
      </w:r>
      <w:r w:rsidR="004A7ACA" w:rsidRPr="00A667BB">
        <w:rPr>
          <w:i/>
          <w:iCs/>
          <w:lang w:val="en-GB"/>
        </w:rPr>
        <w:t xml:space="preserve"> </w:t>
      </w:r>
      <w:r w:rsidR="009C5E79" w:rsidRPr="00A667BB">
        <w:rPr>
          <w:i/>
          <w:iCs/>
          <w:lang w:val="en-GB"/>
        </w:rPr>
        <w:t xml:space="preserve">to being a leader in this area and helping create a </w:t>
      </w:r>
      <w:r w:rsidR="004A7ACA" w:rsidRPr="00A667BB">
        <w:rPr>
          <w:i/>
          <w:iCs/>
          <w:lang w:val="en-GB"/>
        </w:rPr>
        <w:t>low carbon future.</w:t>
      </w:r>
      <w:r w:rsidR="009C5E79" w:rsidRPr="00A667BB">
        <w:rPr>
          <w:i/>
          <w:iCs/>
          <w:lang w:val="en-GB"/>
        </w:rPr>
        <w:t>”</w:t>
      </w:r>
      <w:r w:rsidR="004A7ACA" w:rsidRPr="00A667BB">
        <w:rPr>
          <w:lang w:val="en-GB"/>
        </w:rPr>
        <w:t xml:space="preserve"> </w:t>
      </w:r>
    </w:p>
    <w:p w14:paraId="5278FD48" w14:textId="029552FE" w:rsidR="00B23B24" w:rsidRPr="00A667BB" w:rsidRDefault="530FBD16" w:rsidP="00546FC1">
      <w:pPr>
        <w:rPr>
          <w:lang w:val="en-GB"/>
        </w:rPr>
      </w:pPr>
      <w:r w:rsidRPr="00A667BB">
        <w:rPr>
          <w:lang w:val="en-GB"/>
        </w:rPr>
        <w:t xml:space="preserve">The 2017 A List is comprised of 156 global companies, and has been produced at the request of 827 investors with assets of over US$100 trillion. Thousands of companies submit annual environmental disclosures to CDP for independent assessment against its scoring methodology. </w:t>
      </w:r>
    </w:p>
    <w:p w14:paraId="73206FA0" w14:textId="3101B4A3" w:rsidR="00546FC1" w:rsidRPr="00A667BB" w:rsidRDefault="0C057BD5" w:rsidP="0C057BD5">
      <w:pPr>
        <w:rPr>
          <w:highlight w:val="yellow"/>
          <w:lang w:val="en-GB"/>
        </w:rPr>
      </w:pPr>
      <w:r w:rsidRPr="00A667BB">
        <w:rPr>
          <w:rFonts w:eastAsia="Arial"/>
          <w:lang w:val="en-GB"/>
        </w:rPr>
        <w:t>CDP’s Executive Chair Paul Dickinson</w:t>
      </w:r>
      <w:r w:rsidRPr="00A667BB">
        <w:rPr>
          <w:lang w:val="en-GB"/>
        </w:rPr>
        <w:t xml:space="preserve"> said: </w:t>
      </w:r>
      <w:r w:rsidRPr="00A667BB">
        <w:rPr>
          <w:i/>
          <w:iCs/>
          <w:lang w:val="en-GB"/>
        </w:rPr>
        <w:t xml:space="preserve">“Congratulations to all the companies that made it onto the A List this year. It’s inspiring to see so many taking bold action to mitigate environmental risks and grasp the opportunities that come with the transition to a sustainable economy. These companies are driving the transition as we approach a tipping point on environmental action”. </w:t>
      </w:r>
    </w:p>
    <w:p w14:paraId="19765F10" w14:textId="12740906" w:rsidR="00546FC1" w:rsidRPr="00A667BB" w:rsidRDefault="0E4EE3F1" w:rsidP="00A21D7B">
      <w:pPr>
        <w:rPr>
          <w:lang w:val="en-GB"/>
        </w:rPr>
      </w:pPr>
      <w:r w:rsidRPr="00A667BB">
        <w:rPr>
          <w:lang w:val="en-GB"/>
        </w:rPr>
        <w:t xml:space="preserve">The A-List and full company scores are available on CDP’s website: </w:t>
      </w:r>
      <w:hyperlink r:id="rId10">
        <w:r w:rsidRPr="00A667BB">
          <w:rPr>
            <w:rStyle w:val="Hyperlink"/>
            <w:lang w:val="en-GB"/>
          </w:rPr>
          <w:t>https://www.cdp.net/en/scores-2017</w:t>
        </w:r>
      </w:hyperlink>
      <w:r w:rsidRPr="00A667BB">
        <w:rPr>
          <w:lang w:val="en-GB"/>
        </w:rPr>
        <w:t xml:space="preserve"> </w:t>
      </w:r>
    </w:p>
    <w:p w14:paraId="088AE507" w14:textId="46EBBA2B" w:rsidR="006F4908" w:rsidRPr="00A667BB" w:rsidRDefault="0E4EE3F1" w:rsidP="00A21D7B">
      <w:pPr>
        <w:rPr>
          <w:lang w:val="en-GB"/>
        </w:rPr>
      </w:pPr>
      <w:r w:rsidRPr="00A667BB">
        <w:rPr>
          <w:color w:val="000000" w:themeColor="text1"/>
          <w:lang w:val="en-GB"/>
        </w:rPr>
        <w:t xml:space="preserve">The scores are released on the same day as CDP’s second annual analysis in the series: </w:t>
      </w:r>
      <w:hyperlink r:id="rId11" w:history="1">
        <w:r w:rsidRPr="00A667BB">
          <w:rPr>
            <w:rStyle w:val="Hyperlink"/>
            <w:lang w:val="en-GB"/>
          </w:rPr>
          <w:t>Tracking progress on corporate climate action</w:t>
        </w:r>
      </w:hyperlink>
      <w:r w:rsidRPr="00A667BB">
        <w:rPr>
          <w:color w:val="000000" w:themeColor="text1"/>
          <w:lang w:val="en-GB"/>
        </w:rPr>
        <w:t xml:space="preserve">. This year’s assessment reveals that more companies are setting increasingly ambitious and longer-term climate targets, while the transition to a low-carbon economy is also driving product innovation and the uptake of new tools for change. </w:t>
      </w:r>
    </w:p>
    <w:p w14:paraId="49EEDF3C" w14:textId="77777777" w:rsidR="00F1751F" w:rsidRDefault="00F1751F" w:rsidP="00321018">
      <w:pPr>
        <w:spacing w:after="0" w:line="240" w:lineRule="auto"/>
        <w:rPr>
          <w:rFonts w:eastAsia="Arial"/>
          <w:b/>
          <w:bCs/>
          <w:lang w:val="en-GB"/>
        </w:rPr>
      </w:pPr>
    </w:p>
    <w:p w14:paraId="4D4528BA" w14:textId="77777777" w:rsidR="00F1751F" w:rsidRDefault="00F1751F" w:rsidP="00321018">
      <w:pPr>
        <w:spacing w:after="0" w:line="240" w:lineRule="auto"/>
        <w:rPr>
          <w:rFonts w:eastAsia="Arial"/>
          <w:b/>
          <w:bCs/>
          <w:lang w:val="en-GB"/>
        </w:rPr>
      </w:pPr>
    </w:p>
    <w:p w14:paraId="6ADE5BD4" w14:textId="6A800B7A" w:rsidR="00321018" w:rsidRPr="00A667BB" w:rsidRDefault="00321018" w:rsidP="00321018">
      <w:pPr>
        <w:spacing w:after="0" w:line="240" w:lineRule="auto"/>
        <w:rPr>
          <w:rFonts w:eastAsia="Arial"/>
          <w:b/>
          <w:bCs/>
          <w:lang w:val="en-GB"/>
        </w:rPr>
      </w:pPr>
      <w:bookmarkStart w:id="0" w:name="_GoBack"/>
      <w:bookmarkEnd w:id="0"/>
      <w:r w:rsidRPr="00A667BB">
        <w:rPr>
          <w:rFonts w:eastAsia="Arial"/>
          <w:b/>
          <w:bCs/>
          <w:lang w:val="en-GB"/>
        </w:rPr>
        <w:lastRenderedPageBreak/>
        <w:t>About Arçelik A.Ş.</w:t>
      </w:r>
    </w:p>
    <w:p w14:paraId="51B86B9A" w14:textId="1E5C90F3" w:rsidR="00444F26" w:rsidRDefault="00321018" w:rsidP="00321018">
      <w:pPr>
        <w:spacing w:after="0" w:line="240" w:lineRule="auto"/>
        <w:rPr>
          <w:rFonts w:eastAsia="Arial"/>
          <w:bCs/>
          <w:lang w:val="en-GB"/>
        </w:rPr>
      </w:pPr>
      <w:r w:rsidRPr="00A667BB">
        <w:rPr>
          <w:rFonts w:eastAsia="Arial"/>
          <w:bCs/>
          <w:lang w:val="en-GB"/>
        </w:rPr>
        <w:t xml:space="preserve">Arçelik A.Ş., part of a leading conglomerate Koç Holding, offers products and services in 145 countries with its 30,000 employees, 18 production facilities in 7 countries (Turkey, Romania, </w:t>
      </w:r>
    </w:p>
    <w:p w14:paraId="11433E0C" w14:textId="62F7A66C" w:rsidR="00321018" w:rsidRPr="00A667BB" w:rsidRDefault="00321018" w:rsidP="00321018">
      <w:pPr>
        <w:spacing w:after="0" w:line="240" w:lineRule="auto"/>
        <w:rPr>
          <w:rFonts w:eastAsia="Arial"/>
          <w:lang w:val="en-GB"/>
        </w:rPr>
      </w:pPr>
      <w:r w:rsidRPr="00A667BB">
        <w:rPr>
          <w:rFonts w:eastAsia="Arial"/>
          <w:bCs/>
          <w:lang w:val="en-GB"/>
        </w:rPr>
        <w:t>Russia,</w:t>
      </w:r>
      <w:r w:rsidRPr="00A667BB">
        <w:rPr>
          <w:rFonts w:eastAsia="Arial"/>
          <w:lang w:val="en-GB"/>
        </w:rPr>
        <w:t xml:space="preserve"> China, South Africa, Thailand and Pakistan), its 34 sales and marketing offices in 32 countries and its 11 brands including Arçelik, Beko, Grundig, Blomberg, ElektraBregenz, Arctic, Leisure, Flavel, Defy, Altus and Dawlance. As the third largest home appliances company in Europe, the consolidated turnover of Arçelik A.Ş. was totalled at TRY 16.1 billion in 2016. Generating 60% of its income from global markets Arçelik A.Ş. owns 14 R&amp;D centers, employing over 1,300 employees. Arçelik is listed in ISE (Borsa Istanbul) since 1986.  </w:t>
      </w:r>
    </w:p>
    <w:p w14:paraId="3D7D9463" w14:textId="77777777" w:rsidR="00321018" w:rsidRPr="00A667BB" w:rsidRDefault="00321018" w:rsidP="0472C1AC">
      <w:pPr>
        <w:spacing w:after="0" w:line="240" w:lineRule="auto"/>
        <w:rPr>
          <w:rFonts w:eastAsia="Arial"/>
          <w:b/>
          <w:bCs/>
          <w:lang w:val="en-GB"/>
        </w:rPr>
      </w:pPr>
    </w:p>
    <w:p w14:paraId="2E17927B" w14:textId="0DB6EBB7" w:rsidR="00C959A7" w:rsidRPr="00A667BB" w:rsidRDefault="0472C1AC" w:rsidP="0472C1AC">
      <w:pPr>
        <w:spacing w:after="0" w:line="240" w:lineRule="auto"/>
        <w:rPr>
          <w:rFonts w:eastAsia="Arial"/>
          <w:lang w:val="en-GB"/>
        </w:rPr>
      </w:pPr>
      <w:r w:rsidRPr="00A667BB">
        <w:rPr>
          <w:rFonts w:eastAsia="Arial"/>
          <w:b/>
          <w:bCs/>
          <w:lang w:val="en-GB"/>
        </w:rPr>
        <w:t>About CDP</w:t>
      </w:r>
    </w:p>
    <w:p w14:paraId="3EE46F68" w14:textId="77777777" w:rsidR="000827D9" w:rsidRDefault="0472C1AC" w:rsidP="0472C1AC">
      <w:pPr>
        <w:spacing w:after="0" w:line="240" w:lineRule="auto"/>
        <w:rPr>
          <w:rFonts w:eastAsia="Arial"/>
          <w:lang w:val="en-GB"/>
        </w:rPr>
      </w:pPr>
      <w:r w:rsidRPr="00A667BB">
        <w:rPr>
          <w:rFonts w:eastAsia="Arial"/>
          <w:lang w:val="en-GB"/>
        </w:rPr>
        <w:t xml:space="preserve">CDP is an international non-profit that drives companies and governments to reduce their greenhouse gas emissions, safeguard water resources and protect forests. Voted </w:t>
      </w:r>
      <w:hyperlink r:id="rId12">
        <w:r w:rsidRPr="00A667BB">
          <w:rPr>
            <w:rStyle w:val="Hyperlink"/>
            <w:rFonts w:eastAsia="Arial"/>
            <w:color w:val="0563C1"/>
            <w:lang w:val="en-GB"/>
          </w:rPr>
          <w:t>number one</w:t>
        </w:r>
      </w:hyperlink>
      <w:r w:rsidRPr="00A667BB">
        <w:rPr>
          <w:rFonts w:eastAsia="Arial"/>
          <w:lang w:val="en-GB"/>
        </w:rPr>
        <w:t xml:space="preserve"> climate research provider by investors and working with institutional investors with assets of US$100 trillion, we leverage investor and buyer power to motivate companies to disclose and manage their environmental impacts. Over 6,300 companies with some 55% of global market capitalization disclosed environmental data through CDP in 2017. This is in addition to the over 500 cities and 100 states and regions who disclosed, making CDP’s platform one of the richest sources of information globally on how companies and governments are driving environmental change. CDP, formerly Carbon Disclosure Project, is a founding member of the We Mean Business Coalition. Please visit </w:t>
      </w:r>
      <w:hyperlink r:id="rId13">
        <w:r w:rsidRPr="00A667BB">
          <w:rPr>
            <w:rStyle w:val="Hyperlink"/>
            <w:rFonts w:eastAsia="Arial"/>
            <w:color w:val="0072BC"/>
            <w:lang w:val="en-GB"/>
          </w:rPr>
          <w:t>www.cdp.net</w:t>
        </w:r>
      </w:hyperlink>
      <w:r w:rsidRPr="00A667BB">
        <w:rPr>
          <w:rFonts w:eastAsia="Arial"/>
          <w:lang w:val="en-GB"/>
        </w:rPr>
        <w:t> or follow us @CDP to find out more.</w:t>
      </w:r>
    </w:p>
    <w:p w14:paraId="36AF1FD8" w14:textId="77777777" w:rsidR="000827D9" w:rsidRPr="00444F26" w:rsidRDefault="000827D9" w:rsidP="0472C1AC">
      <w:pPr>
        <w:spacing w:after="0" w:line="240" w:lineRule="auto"/>
        <w:rPr>
          <w:rFonts w:eastAsia="Arial"/>
          <w:sz w:val="28"/>
          <w:lang w:val="en-GB"/>
        </w:rPr>
      </w:pPr>
    </w:p>
    <w:p w14:paraId="103596E0" w14:textId="2B1A5042" w:rsidR="000827D9" w:rsidRPr="00444F26" w:rsidRDefault="000827D9" w:rsidP="00444F26">
      <w:pPr>
        <w:spacing w:after="0" w:line="240" w:lineRule="auto"/>
        <w:rPr>
          <w:rFonts w:eastAsia="Arial"/>
          <w:b/>
          <w:lang w:val="en-GB"/>
        </w:rPr>
      </w:pPr>
      <w:r>
        <w:rPr>
          <w:rFonts w:eastAsia="Arial"/>
          <w:b/>
          <w:lang w:val="en-GB"/>
        </w:rPr>
        <w:t>About Sabanci</w:t>
      </w:r>
      <w:r w:rsidRPr="00444F26">
        <w:rPr>
          <w:rFonts w:eastAsia="Arial"/>
          <w:b/>
          <w:lang w:val="en-GB"/>
        </w:rPr>
        <w:t xml:space="preserve"> University Corporate Governance Forum</w:t>
      </w:r>
    </w:p>
    <w:p w14:paraId="07D396B4" w14:textId="16154A9C" w:rsidR="000827D9" w:rsidRPr="00444F26" w:rsidRDefault="000827D9" w:rsidP="00444F26">
      <w:pPr>
        <w:spacing w:after="0" w:line="240" w:lineRule="auto"/>
        <w:rPr>
          <w:rFonts w:eastAsia="Arial"/>
          <w:lang w:val="en-GB"/>
        </w:rPr>
      </w:pPr>
      <w:r w:rsidRPr="00FD5858">
        <w:t>Sabanci University is one of the most prestigious privately funded research universities in Turkey and it ranks at the top in research</w:t>
      </w:r>
      <w:r>
        <w:t xml:space="preserve"> impact and academic freedom. Sabanci University Corporate Governance Forum (SU CGFT) is the partner organization of CDP in Turkey. </w:t>
      </w:r>
      <w:r w:rsidRPr="00FD5858">
        <w:t>Forum’s work is focused on corporate policies and governance around issues that can impact economic development and social welfare. Its mission is to contribute to the improvement of corporate governance framework and practices through scientific research, supporting the policy development process by active engagement with businesses to encourage and facilitate the dialogue between academicians and practitioners.</w:t>
      </w:r>
      <w:r>
        <w:rPr>
          <w:rFonts w:eastAsia="Arial"/>
          <w:lang w:val="en-GB"/>
        </w:rPr>
        <w:t xml:space="preserve"> </w:t>
      </w:r>
      <w:r w:rsidRPr="00FD5858">
        <w:t>SU CGFT continues its work as an interdisciplinary academic initiative that carries out programs on the improvement of the economic a</w:t>
      </w:r>
      <w:r>
        <w:t xml:space="preserve">nd social effects of companies. </w:t>
      </w:r>
      <w:r w:rsidRPr="00FD5858">
        <w:t xml:space="preserve">SU CGFT is responsible for the Turkish operations of CDP, the world's most prestigious environmental project, since 2009. </w:t>
      </w:r>
    </w:p>
    <w:p w14:paraId="5FAB4C2E" w14:textId="77777777" w:rsidR="000827D9" w:rsidRPr="00A667BB" w:rsidRDefault="000827D9" w:rsidP="0472C1AC">
      <w:pPr>
        <w:spacing w:after="0" w:line="240" w:lineRule="auto"/>
        <w:rPr>
          <w:rFonts w:eastAsia="Arial"/>
          <w:lang w:val="en-GB"/>
        </w:rPr>
      </w:pPr>
    </w:p>
    <w:p w14:paraId="348FC8CD" w14:textId="77777777" w:rsidR="00444F26" w:rsidRPr="00444F26" w:rsidRDefault="00444F26" w:rsidP="0472C1AC">
      <w:pPr>
        <w:rPr>
          <w:b/>
          <w:bCs/>
          <w:sz w:val="6"/>
          <w:lang w:val="en-GB"/>
        </w:rPr>
      </w:pPr>
    </w:p>
    <w:p w14:paraId="07B306B1" w14:textId="3660A467" w:rsidR="00C959A7" w:rsidRPr="00A667BB" w:rsidRDefault="0472C1AC" w:rsidP="0472C1AC">
      <w:pPr>
        <w:rPr>
          <w:b/>
          <w:bCs/>
          <w:lang w:val="en-GB"/>
        </w:rPr>
      </w:pPr>
      <w:r w:rsidRPr="00A667BB">
        <w:rPr>
          <w:b/>
          <w:bCs/>
          <w:lang w:val="en-GB"/>
        </w:rPr>
        <w:t>Note to editors</w:t>
      </w:r>
      <w:r w:rsidR="380F3995" w:rsidRPr="00A667BB">
        <w:rPr>
          <w:lang w:val="en-GB"/>
        </w:rPr>
        <w:br/>
      </w:r>
      <w:r w:rsidRPr="00A667BB">
        <w:rPr>
          <w:lang w:val="en-GB"/>
        </w:rPr>
        <w:t xml:space="preserve">The methodology and criteria for the A List </w:t>
      </w:r>
      <w:r w:rsidR="00C72479" w:rsidRPr="00A667BB">
        <w:rPr>
          <w:lang w:val="en-GB"/>
        </w:rPr>
        <w:t xml:space="preserve">are available on </w:t>
      </w:r>
      <w:hyperlink r:id="rId14" w:anchor="983f54421cac095b304bb72361ae1e38" w:history="1">
        <w:r w:rsidR="00C72479" w:rsidRPr="00A667BB">
          <w:rPr>
            <w:rStyle w:val="Hyperlink"/>
            <w:lang w:val="en-GB"/>
          </w:rPr>
          <w:t>CDP’s website.</w:t>
        </w:r>
      </w:hyperlink>
    </w:p>
    <w:sectPr w:rsidR="00C959A7" w:rsidRPr="00A667BB" w:rsidSect="003D71C3">
      <w:headerReference w:type="default" r:id="rId15"/>
      <w:footerReference w:type="default" r:id="rId16"/>
      <w:pgSz w:w="12240" w:h="15840"/>
      <w:pgMar w:top="1440" w:right="1440" w:bottom="993" w:left="1440" w:header="426" w:footer="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285A4" w14:textId="77777777" w:rsidR="008029FC" w:rsidRDefault="008029FC" w:rsidP="002845F8">
      <w:pPr>
        <w:spacing w:after="0" w:line="240" w:lineRule="auto"/>
      </w:pPr>
      <w:r>
        <w:separator/>
      </w:r>
    </w:p>
  </w:endnote>
  <w:endnote w:type="continuationSeparator" w:id="0">
    <w:p w14:paraId="77C5843C" w14:textId="77777777" w:rsidR="008029FC" w:rsidRDefault="008029FC" w:rsidP="00284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10002FF" w:usb1="4000ACFF" w:usb2="00000009" w:usb3="00000000" w:csb0="0000019F" w:csb1="00000000"/>
  </w:font>
  <w:font w:name="Helvetica">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0E27B" w14:textId="04BD1635" w:rsidR="00A21D7B" w:rsidRPr="003D71C3" w:rsidRDefault="000A1C94" w:rsidP="00054167">
    <w:r>
      <w:rPr>
        <w:noProof/>
        <w:color w:val="B42E34"/>
        <w:sz w:val="20"/>
        <w:szCs w:val="20"/>
        <w:lang w:val="tr-TR" w:eastAsia="tr-TR"/>
      </w:rPr>
      <mc:AlternateContent>
        <mc:Choice Requires="wps">
          <w:drawing>
            <wp:anchor distT="0" distB="0" distL="114300" distR="114300" simplePos="0" relativeHeight="251659264" behindDoc="0" locked="0" layoutInCell="0" allowOverlap="1" wp14:anchorId="34D4BCFD" wp14:editId="7E7B0DAE">
              <wp:simplePos x="0" y="0"/>
              <wp:positionH relativeFrom="page">
                <wp:posOffset>0</wp:posOffset>
              </wp:positionH>
              <wp:positionV relativeFrom="page">
                <wp:posOffset>9594215</wp:posOffset>
              </wp:positionV>
              <wp:extent cx="7772400" cy="273050"/>
              <wp:effectExtent l="0" t="0" r="0" b="12700"/>
              <wp:wrapNone/>
              <wp:docPr id="2" name="MSIPCM51e74e49b30928412b8e1647" descr="{&quot;HashCode&quot;:-651947352,&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17D27F" w14:textId="00AF37A5" w:rsidR="000A1C94" w:rsidRPr="000A1C94" w:rsidRDefault="000A1C94" w:rsidP="000A1C94">
                          <w:pPr>
                            <w:spacing w:after="0"/>
                            <w:rPr>
                              <w:rFonts w:ascii="Calibri" w:hAnsi="Calibri"/>
                              <w:color w:val="FF8C00"/>
                              <w:sz w:val="24"/>
                            </w:rPr>
                          </w:pPr>
                          <w:r w:rsidRPr="000A1C94">
                            <w:rPr>
                              <w:rFonts w:ascii="Calibri" w:hAnsi="Calibri"/>
                              <w:color w:val="FF8C00"/>
                              <w:sz w:val="24"/>
                            </w:rPr>
                            <w:t>Sensitivity: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4D4BCFD" id="_x0000_t202" coordsize="21600,21600" o:spt="202" path="m,l,21600r21600,l21600,xe">
              <v:stroke joinstyle="miter"/>
              <v:path gradientshapeok="t" o:connecttype="rect"/>
            </v:shapetype>
            <v:shape id="MSIPCM51e74e49b30928412b8e1647" o:spid="_x0000_s1026" type="#_x0000_t202" alt="{&quot;HashCode&quot;:-651947352,&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" o:allowincell="f" filled="f" stroked="f" strokeweight=".5pt">
              <v:textbox inset="20pt,0,,0">
                <w:txbxContent>
                  <w:p w14:paraId="5717D27F" w14:textId="00AF37A5" w:rsidR="000A1C94" w:rsidRPr="000A1C94" w:rsidRDefault="000A1C94" w:rsidP="000A1C94">
                    <w:pPr>
                      <w:spacing w:after="0"/>
                      <w:rPr>
                        <w:rFonts w:ascii="Calibri" w:hAnsi="Calibri"/>
                        <w:color w:val="FF8C00"/>
                        <w:sz w:val="24"/>
                      </w:rPr>
                    </w:pPr>
                    <w:r w:rsidRPr="000A1C94">
                      <w:rPr>
                        <w:rFonts w:ascii="Calibri" w:hAnsi="Calibri"/>
                        <w:color w:val="FF8C00"/>
                        <w:sz w:val="24"/>
                      </w:rPr>
                      <w:t>Sensitivity: Public</w:t>
                    </w:r>
                  </w:p>
                </w:txbxContent>
              </v:textbox>
              <w10:wrap anchorx="page" anchory="page"/>
            </v:shape>
          </w:pict>
        </mc:Fallback>
      </mc:AlternateContent>
    </w:r>
    <w:sdt>
      <w:sdtPr>
        <w:rPr>
          <w:rStyle w:val="Hyperlink"/>
          <w:color w:val="B42E34"/>
          <w:sz w:val="20"/>
          <w:szCs w:val="20"/>
          <w:u w:val="none"/>
          <w:lang w:val="en-GB"/>
        </w:rPr>
        <w:id w:val="250395305"/>
        <w:docPartObj>
          <w:docPartGallery w:val="Page Numbers (Top of Page)"/>
          <w:docPartUnique/>
        </w:docPartObj>
      </w:sdtPr>
      <w:sdtEndPr>
        <w:rPr>
          <w:rStyle w:val="Hyperlink"/>
        </w:rPr>
      </w:sdtEndPr>
      <w:sdtContent>
        <w:r w:rsidR="00A21D7B" w:rsidRPr="00054167">
          <w:rPr>
            <w:rStyle w:val="Hyperlink"/>
            <w:color w:val="B42E34"/>
            <w:sz w:val="20"/>
            <w:szCs w:val="20"/>
            <w:u w:val="none"/>
            <w:lang w:val="en-GB"/>
          </w:rPr>
          <w:t xml:space="preserve">Page </w:t>
        </w:r>
        <w:r w:rsidR="00A21D7B" w:rsidRPr="00054167">
          <w:rPr>
            <w:rStyle w:val="Hyperlink"/>
            <w:color w:val="B42E34"/>
            <w:sz w:val="20"/>
            <w:szCs w:val="20"/>
            <w:u w:val="none"/>
            <w:lang w:val="en-GB"/>
          </w:rPr>
          <w:fldChar w:fldCharType="begin"/>
        </w:r>
        <w:r w:rsidR="00A21D7B" w:rsidRPr="00054167">
          <w:rPr>
            <w:rStyle w:val="Hyperlink"/>
            <w:color w:val="B42E34"/>
            <w:sz w:val="20"/>
            <w:szCs w:val="20"/>
            <w:u w:val="none"/>
            <w:lang w:val="en-GB"/>
          </w:rPr>
          <w:instrText xml:space="preserve"> PAGE </w:instrText>
        </w:r>
        <w:r w:rsidR="00A21D7B" w:rsidRPr="00054167">
          <w:rPr>
            <w:rStyle w:val="Hyperlink"/>
            <w:color w:val="B42E34"/>
            <w:sz w:val="20"/>
            <w:szCs w:val="20"/>
            <w:u w:val="none"/>
            <w:lang w:val="en-GB"/>
          </w:rPr>
          <w:fldChar w:fldCharType="separate"/>
        </w:r>
        <w:r w:rsidR="00F1751F">
          <w:rPr>
            <w:rStyle w:val="Hyperlink"/>
            <w:noProof/>
            <w:color w:val="B42E34"/>
            <w:sz w:val="20"/>
            <w:szCs w:val="20"/>
            <w:u w:val="none"/>
            <w:lang w:val="en-GB"/>
          </w:rPr>
          <w:t>2</w:t>
        </w:r>
        <w:r w:rsidR="00A21D7B" w:rsidRPr="00054167">
          <w:rPr>
            <w:rStyle w:val="Hyperlink"/>
            <w:color w:val="B42E34"/>
            <w:sz w:val="20"/>
            <w:szCs w:val="20"/>
            <w:u w:val="none"/>
            <w:lang w:val="en-GB"/>
          </w:rPr>
          <w:fldChar w:fldCharType="end"/>
        </w:r>
        <w:r w:rsidR="00A21D7B" w:rsidRPr="00054167">
          <w:rPr>
            <w:rStyle w:val="Hyperlink"/>
            <w:color w:val="B42E34"/>
            <w:sz w:val="20"/>
            <w:szCs w:val="20"/>
            <w:u w:val="none"/>
            <w:lang w:val="en-GB"/>
          </w:rPr>
          <w:t xml:space="preserve"> of </w:t>
        </w:r>
        <w:r w:rsidR="00A21D7B" w:rsidRPr="00054167">
          <w:rPr>
            <w:rStyle w:val="Hyperlink"/>
            <w:color w:val="B42E34"/>
            <w:sz w:val="20"/>
            <w:szCs w:val="20"/>
            <w:u w:val="none"/>
            <w:lang w:val="en-GB"/>
          </w:rPr>
          <w:fldChar w:fldCharType="begin"/>
        </w:r>
        <w:r w:rsidR="00A21D7B" w:rsidRPr="00054167">
          <w:rPr>
            <w:rStyle w:val="Hyperlink"/>
            <w:color w:val="B42E34"/>
            <w:sz w:val="20"/>
            <w:szCs w:val="20"/>
            <w:u w:val="none"/>
            <w:lang w:val="en-GB"/>
          </w:rPr>
          <w:instrText xml:space="preserve"> NUMPAGES  </w:instrText>
        </w:r>
        <w:r w:rsidR="00A21D7B" w:rsidRPr="00054167">
          <w:rPr>
            <w:rStyle w:val="Hyperlink"/>
            <w:color w:val="B42E34"/>
            <w:sz w:val="20"/>
            <w:szCs w:val="20"/>
            <w:u w:val="none"/>
            <w:lang w:val="en-GB"/>
          </w:rPr>
          <w:fldChar w:fldCharType="separate"/>
        </w:r>
        <w:r w:rsidR="00F1751F">
          <w:rPr>
            <w:rStyle w:val="Hyperlink"/>
            <w:noProof/>
            <w:color w:val="B42E34"/>
            <w:sz w:val="20"/>
            <w:szCs w:val="20"/>
            <w:u w:val="none"/>
            <w:lang w:val="en-GB"/>
          </w:rPr>
          <w:t>2</w:t>
        </w:r>
        <w:r w:rsidR="00A21D7B" w:rsidRPr="00054167">
          <w:rPr>
            <w:rStyle w:val="Hyperlink"/>
            <w:color w:val="B42E34"/>
            <w:sz w:val="20"/>
            <w:szCs w:val="20"/>
            <w:u w:val="none"/>
            <w:lang w:val="en-GB"/>
          </w:rPr>
          <w:fldChar w:fldCharType="end"/>
        </w:r>
      </w:sdtContent>
    </w:sdt>
    <w:r w:rsidR="00A21D7B">
      <w:t xml:space="preserve"> </w:t>
    </w:r>
    <w:r w:rsidR="00A21D7B">
      <w:tab/>
    </w:r>
    <w:r w:rsidR="00A21D7B">
      <w:tab/>
    </w:r>
    <w:r w:rsidR="00A21D7B">
      <w:tab/>
    </w:r>
    <w:r w:rsidR="00A21D7B">
      <w:tab/>
    </w:r>
    <w:r w:rsidR="00A21D7B">
      <w:tab/>
    </w:r>
    <w:r w:rsidR="00A21D7B">
      <w:tab/>
    </w:r>
    <w:r w:rsidR="00A21D7B">
      <w:tab/>
    </w:r>
    <w:r w:rsidR="00A21D7B">
      <w:tab/>
    </w:r>
    <w:r w:rsidR="00A21D7B">
      <w:tab/>
      <w:t xml:space="preserve">     </w:t>
    </w:r>
    <w:hyperlink r:id="rId1" w:history="1">
      <w:r w:rsidR="00A21D7B" w:rsidRPr="002433D2">
        <w:rPr>
          <w:rStyle w:val="Hyperlink"/>
          <w:color w:val="B42E34"/>
          <w:sz w:val="20"/>
          <w:szCs w:val="20"/>
          <w:u w:val="none"/>
          <w:lang w:val="en-GB"/>
        </w:rPr>
        <w:t>@cdp</w:t>
      </w:r>
    </w:hyperlink>
    <w:r w:rsidR="00A21D7B" w:rsidRPr="002433D2">
      <w:rPr>
        <w:color w:val="B42E34"/>
        <w:sz w:val="20"/>
        <w:szCs w:val="20"/>
      </w:rPr>
      <w:t xml:space="preserve"> | </w:t>
    </w:r>
    <w:hyperlink r:id="rId2" w:history="1">
      <w:r w:rsidR="00A21D7B" w:rsidRPr="002433D2">
        <w:rPr>
          <w:rStyle w:val="Hyperlink"/>
          <w:color w:val="B42E34"/>
          <w:sz w:val="20"/>
          <w:szCs w:val="20"/>
          <w:u w:val="none"/>
          <w:lang w:val="en-GB"/>
        </w:rPr>
        <w:t>www.cdp.net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2FAE32" w14:textId="77777777" w:rsidR="008029FC" w:rsidRDefault="008029FC" w:rsidP="002845F8">
      <w:pPr>
        <w:spacing w:after="0" w:line="240" w:lineRule="auto"/>
      </w:pPr>
      <w:r>
        <w:separator/>
      </w:r>
    </w:p>
  </w:footnote>
  <w:footnote w:type="continuationSeparator" w:id="0">
    <w:p w14:paraId="4CB967C1" w14:textId="77777777" w:rsidR="008029FC" w:rsidRDefault="008029FC" w:rsidP="002845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2041E" w14:textId="6909D585" w:rsidR="00A21D7B" w:rsidRDefault="00444F26" w:rsidP="002845F8">
    <w:pPr>
      <w:pStyle w:val="Header"/>
      <w:jc w:val="right"/>
    </w:pPr>
    <w:r>
      <w:rPr>
        <w:noProof/>
        <w:lang w:val="tr-TR" w:eastAsia="tr-TR"/>
      </w:rPr>
      <w:drawing>
        <wp:anchor distT="0" distB="0" distL="114300" distR="114300" simplePos="0" relativeHeight="251660288" behindDoc="0" locked="0" layoutInCell="1" allowOverlap="1" wp14:anchorId="4013CDC8" wp14:editId="0F5AB3C4">
          <wp:simplePos x="0" y="0"/>
          <wp:positionH relativeFrom="margin">
            <wp:posOffset>-177800</wp:posOffset>
          </wp:positionH>
          <wp:positionV relativeFrom="margin">
            <wp:posOffset>-697865</wp:posOffset>
          </wp:positionV>
          <wp:extent cx="901700" cy="384175"/>
          <wp:effectExtent l="0" t="0" r="0" b="0"/>
          <wp:wrapSquare wrapText="bothSides"/>
          <wp:docPr id="1" name="Picture 0" descr="CDP_logo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P_logo_CMYK.png"/>
                  <pic:cNvPicPr/>
                </pic:nvPicPr>
                <pic:blipFill>
                  <a:blip r:embed="rId1">
                    <a:extLst>
                      <a:ext uri="{28A0092B-C50C-407E-A947-70E740481C1C}">
                        <a14:useLocalDpi xmlns:a14="http://schemas.microsoft.com/office/drawing/2010/main" val="0"/>
                      </a:ext>
                    </a:extLst>
                  </a:blip>
                  <a:stretch>
                    <a:fillRect/>
                  </a:stretch>
                </pic:blipFill>
                <pic:spPr>
                  <a:xfrm>
                    <a:off x="0" y="0"/>
                    <a:ext cx="901700" cy="384175"/>
                  </a:xfrm>
                  <a:prstGeom prst="rect">
                    <a:avLst/>
                  </a:prstGeom>
                </pic:spPr>
              </pic:pic>
            </a:graphicData>
          </a:graphic>
          <wp14:sizeRelH relativeFrom="margin">
            <wp14:pctWidth>0</wp14:pctWidth>
          </wp14:sizeRelH>
          <wp14:sizeRelV relativeFrom="margin">
            <wp14:pctHeight>0</wp14:pctHeight>
          </wp14:sizeRelV>
        </wp:anchor>
      </w:drawing>
    </w:r>
  </w:p>
  <w:p w14:paraId="757D12F9" w14:textId="5ACCB3DC" w:rsidR="00A21D7B" w:rsidRDefault="00444F26">
    <w:pPr>
      <w:pStyle w:val="Header"/>
      <w:rPr>
        <w:noProof/>
        <w:lang w:val="tr-TR" w:eastAsia="tr-TR"/>
      </w:rPr>
    </w:pPr>
    <w:r>
      <w:rPr>
        <w:noProof/>
        <w:lang w:val="tr-TR" w:eastAsia="tr-TR"/>
      </w:rPr>
      <w:t xml:space="preserve">   </w:t>
    </w:r>
    <w:r w:rsidR="00C927FE">
      <w:rPr>
        <w:noProof/>
        <w:lang w:val="tr-TR" w:eastAsia="tr-TR"/>
      </w:rPr>
      <w:drawing>
        <wp:inline distT="0" distB="0" distL="0" distR="0" wp14:anchorId="20BBD95B" wp14:editId="76B94FCE">
          <wp:extent cx="3365500" cy="749300"/>
          <wp:effectExtent l="0" t="0" r="635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65500" cy="749300"/>
                  </a:xfrm>
                  <a:prstGeom prst="rect">
                    <a:avLst/>
                  </a:prstGeom>
                  <a:noFill/>
                  <a:ln>
                    <a:noFill/>
                  </a:ln>
                </pic:spPr>
              </pic:pic>
            </a:graphicData>
          </a:graphic>
        </wp:inline>
      </w:drawing>
    </w:r>
    <w:r>
      <w:rPr>
        <w:noProof/>
        <w:lang w:val="tr-TR" w:eastAsia="tr-TR"/>
      </w:rPr>
      <w:t xml:space="preserve">    </w:t>
    </w:r>
    <w:r>
      <w:rPr>
        <w:noProof/>
        <w:lang w:val="tr-TR" w:eastAsia="tr-TR"/>
      </w:rPr>
      <w:drawing>
        <wp:inline distT="0" distB="0" distL="0" distR="0" wp14:anchorId="742C96FD" wp14:editId="4CF0B1F7">
          <wp:extent cx="1447800" cy="501250"/>
          <wp:effectExtent l="0" t="0" r="0" b="0"/>
          <wp:docPr id="3" name="Picture 3" descr="D:\Users\ar001982\AppData\Local\Microsoft\Windows\Temporary Internet FilesContent.Word\SU CGF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ar001982\AppData\Local\Microsoft\Windows\Temporary Internet FilesContent.Word\SU CGFT-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16070" cy="524886"/>
                  </a:xfrm>
                  <a:prstGeom prst="rect">
                    <a:avLst/>
                  </a:prstGeom>
                  <a:noFill/>
                  <a:ln>
                    <a:noFill/>
                  </a:ln>
                </pic:spPr>
              </pic:pic>
            </a:graphicData>
          </a:graphic>
        </wp:inline>
      </w:drawing>
    </w:r>
  </w:p>
  <w:p w14:paraId="7A1CDBFB" w14:textId="77777777" w:rsidR="00444F26" w:rsidRPr="00444F26" w:rsidRDefault="00444F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E56C6"/>
    <w:multiLevelType w:val="hybridMultilevel"/>
    <w:tmpl w:val="58042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976F0F"/>
    <w:multiLevelType w:val="hybridMultilevel"/>
    <w:tmpl w:val="21C85380"/>
    <w:lvl w:ilvl="0" w:tplc="F2484BF8">
      <w:numFmt w:val="bullet"/>
      <w:lvlText w:val=""/>
      <w:lvlJc w:val="left"/>
      <w:pPr>
        <w:ind w:left="720" w:hanging="360"/>
      </w:pPr>
      <w:rPr>
        <w:rFonts w:ascii="Wingdings 3" w:eastAsia="SimSun" w:hAnsi="Wingdings 3" w:cs="Wingdings 3" w:hint="default"/>
        <w:color w:val="B42E34"/>
      </w:rPr>
    </w:lvl>
    <w:lvl w:ilvl="1" w:tplc="F2484BF8">
      <w:numFmt w:val="bullet"/>
      <w:lvlText w:val=""/>
      <w:lvlJc w:val="left"/>
      <w:pPr>
        <w:ind w:left="1440" w:hanging="360"/>
      </w:pPr>
      <w:rPr>
        <w:rFonts w:ascii="Wingdings 3" w:eastAsia="SimSun" w:hAnsi="Wingdings 3" w:cs="Wingdings 3" w:hint="default"/>
        <w:color w:val="B42E3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080714"/>
    <w:multiLevelType w:val="hybridMultilevel"/>
    <w:tmpl w:val="73F27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0C400C"/>
    <w:multiLevelType w:val="hybridMultilevel"/>
    <w:tmpl w:val="4CAE2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464550"/>
    <w:multiLevelType w:val="hybridMultilevel"/>
    <w:tmpl w:val="A4304408"/>
    <w:lvl w:ilvl="0" w:tplc="F2484BF8">
      <w:numFmt w:val="bullet"/>
      <w:lvlText w:val=""/>
      <w:lvlJc w:val="left"/>
      <w:pPr>
        <w:ind w:left="720" w:hanging="360"/>
      </w:pPr>
      <w:rPr>
        <w:rFonts w:ascii="Wingdings 3" w:eastAsia="SimSun" w:hAnsi="Wingdings 3" w:cs="Wingdings 3" w:hint="default"/>
        <w:color w:val="B42E3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BE7"/>
    <w:rsid w:val="00006754"/>
    <w:rsid w:val="00036CCC"/>
    <w:rsid w:val="00054167"/>
    <w:rsid w:val="00056B40"/>
    <w:rsid w:val="00066A76"/>
    <w:rsid w:val="000827D9"/>
    <w:rsid w:val="000A1C94"/>
    <w:rsid w:val="000C547F"/>
    <w:rsid w:val="000D2438"/>
    <w:rsid w:val="000F7CF4"/>
    <w:rsid w:val="00175085"/>
    <w:rsid w:val="00221084"/>
    <w:rsid w:val="00233FCF"/>
    <w:rsid w:val="00242D84"/>
    <w:rsid w:val="002433D2"/>
    <w:rsid w:val="00247FFA"/>
    <w:rsid w:val="00271E10"/>
    <w:rsid w:val="002845F8"/>
    <w:rsid w:val="00293CE9"/>
    <w:rsid w:val="002B29E8"/>
    <w:rsid w:val="002C73DB"/>
    <w:rsid w:val="002D1696"/>
    <w:rsid w:val="002F7DA5"/>
    <w:rsid w:val="00321018"/>
    <w:rsid w:val="003260AA"/>
    <w:rsid w:val="003338CE"/>
    <w:rsid w:val="00340C6F"/>
    <w:rsid w:val="00374258"/>
    <w:rsid w:val="003A03EE"/>
    <w:rsid w:val="003D34EB"/>
    <w:rsid w:val="003D71C3"/>
    <w:rsid w:val="00401136"/>
    <w:rsid w:val="0041438F"/>
    <w:rsid w:val="00444F26"/>
    <w:rsid w:val="00460147"/>
    <w:rsid w:val="00467A8F"/>
    <w:rsid w:val="0048327C"/>
    <w:rsid w:val="004A7ACA"/>
    <w:rsid w:val="004C4D9E"/>
    <w:rsid w:val="00543A47"/>
    <w:rsid w:val="00546FC1"/>
    <w:rsid w:val="00554F1D"/>
    <w:rsid w:val="00563967"/>
    <w:rsid w:val="005A2DEF"/>
    <w:rsid w:val="005D4FF3"/>
    <w:rsid w:val="005F4A30"/>
    <w:rsid w:val="00622297"/>
    <w:rsid w:val="006455D4"/>
    <w:rsid w:val="0066400B"/>
    <w:rsid w:val="006A07F1"/>
    <w:rsid w:val="006A3AB3"/>
    <w:rsid w:val="006D6329"/>
    <w:rsid w:val="006F4908"/>
    <w:rsid w:val="007209AF"/>
    <w:rsid w:val="007639EC"/>
    <w:rsid w:val="00767CBD"/>
    <w:rsid w:val="0078134B"/>
    <w:rsid w:val="00795260"/>
    <w:rsid w:val="007A781D"/>
    <w:rsid w:val="007C5CDD"/>
    <w:rsid w:val="008029FC"/>
    <w:rsid w:val="008045D8"/>
    <w:rsid w:val="00881BB0"/>
    <w:rsid w:val="008C26BE"/>
    <w:rsid w:val="008D33D6"/>
    <w:rsid w:val="00901D87"/>
    <w:rsid w:val="00910984"/>
    <w:rsid w:val="00950B68"/>
    <w:rsid w:val="009637D3"/>
    <w:rsid w:val="009B2C04"/>
    <w:rsid w:val="009C0EDC"/>
    <w:rsid w:val="009C5E79"/>
    <w:rsid w:val="009E60C0"/>
    <w:rsid w:val="009F3C41"/>
    <w:rsid w:val="00A21D7B"/>
    <w:rsid w:val="00A6342A"/>
    <w:rsid w:val="00A63F2A"/>
    <w:rsid w:val="00A667BB"/>
    <w:rsid w:val="00A81CC2"/>
    <w:rsid w:val="00A84C74"/>
    <w:rsid w:val="00AC62F4"/>
    <w:rsid w:val="00AD5BD4"/>
    <w:rsid w:val="00B0485E"/>
    <w:rsid w:val="00B054D8"/>
    <w:rsid w:val="00B23B24"/>
    <w:rsid w:val="00B3296E"/>
    <w:rsid w:val="00B40C5B"/>
    <w:rsid w:val="00B52306"/>
    <w:rsid w:val="00BA4B64"/>
    <w:rsid w:val="00BC11B2"/>
    <w:rsid w:val="00BC6538"/>
    <w:rsid w:val="00BF0791"/>
    <w:rsid w:val="00C3516C"/>
    <w:rsid w:val="00C72479"/>
    <w:rsid w:val="00C927FE"/>
    <w:rsid w:val="00C959A7"/>
    <w:rsid w:val="00C9601B"/>
    <w:rsid w:val="00CC4670"/>
    <w:rsid w:val="00CD0E03"/>
    <w:rsid w:val="00CD0EDF"/>
    <w:rsid w:val="00D56B33"/>
    <w:rsid w:val="00D56DFA"/>
    <w:rsid w:val="00D962B7"/>
    <w:rsid w:val="00E0474C"/>
    <w:rsid w:val="00E229CD"/>
    <w:rsid w:val="00E35ADD"/>
    <w:rsid w:val="00E412BE"/>
    <w:rsid w:val="00E4203C"/>
    <w:rsid w:val="00E50935"/>
    <w:rsid w:val="00E74A2D"/>
    <w:rsid w:val="00E82791"/>
    <w:rsid w:val="00E835A7"/>
    <w:rsid w:val="00E97A02"/>
    <w:rsid w:val="00EA342E"/>
    <w:rsid w:val="00F1751F"/>
    <w:rsid w:val="00F41880"/>
    <w:rsid w:val="00F74302"/>
    <w:rsid w:val="00F85A78"/>
    <w:rsid w:val="00FB7BE7"/>
    <w:rsid w:val="00FC1067"/>
    <w:rsid w:val="0472C1AC"/>
    <w:rsid w:val="0C057BD5"/>
    <w:rsid w:val="0E4EE3F1"/>
    <w:rsid w:val="298EA783"/>
    <w:rsid w:val="321C40D2"/>
    <w:rsid w:val="380F3995"/>
    <w:rsid w:val="530FBD16"/>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719854"/>
  <w15:docId w15:val="{9DC019A0-E24E-4073-84E8-247E4BB69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en-US" w:eastAsia="zh-TW"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54F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45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5F8"/>
  </w:style>
  <w:style w:type="paragraph" w:styleId="Footer">
    <w:name w:val="footer"/>
    <w:basedOn w:val="Normal"/>
    <w:link w:val="FooterChar"/>
    <w:uiPriority w:val="99"/>
    <w:unhideWhenUsed/>
    <w:rsid w:val="002845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5F8"/>
  </w:style>
  <w:style w:type="paragraph" w:styleId="BalloonText">
    <w:name w:val="Balloon Text"/>
    <w:basedOn w:val="Normal"/>
    <w:link w:val="BalloonTextChar"/>
    <w:uiPriority w:val="99"/>
    <w:semiHidden/>
    <w:unhideWhenUsed/>
    <w:rsid w:val="002845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5F8"/>
    <w:rPr>
      <w:rFonts w:ascii="Tahoma" w:hAnsi="Tahoma" w:cs="Tahoma"/>
      <w:sz w:val="16"/>
      <w:szCs w:val="16"/>
    </w:rPr>
  </w:style>
  <w:style w:type="paragraph" w:styleId="ListParagraph">
    <w:name w:val="List Paragraph"/>
    <w:basedOn w:val="Normal"/>
    <w:uiPriority w:val="34"/>
    <w:qFormat/>
    <w:rsid w:val="002845F8"/>
    <w:pPr>
      <w:ind w:left="720"/>
      <w:contextualSpacing/>
    </w:pPr>
  </w:style>
  <w:style w:type="character" w:styleId="Hyperlink">
    <w:name w:val="Hyperlink"/>
    <w:basedOn w:val="DefaultParagraphFont"/>
    <w:uiPriority w:val="99"/>
    <w:unhideWhenUsed/>
    <w:rsid w:val="002845F8"/>
    <w:rPr>
      <w:color w:val="0000FF" w:themeColor="hyperlink"/>
      <w:u w:val="single"/>
    </w:rPr>
  </w:style>
  <w:style w:type="character" w:styleId="CommentReference">
    <w:name w:val="annotation reference"/>
    <w:basedOn w:val="DefaultParagraphFont"/>
    <w:uiPriority w:val="99"/>
    <w:semiHidden/>
    <w:unhideWhenUsed/>
    <w:rsid w:val="00D56DFA"/>
    <w:rPr>
      <w:sz w:val="16"/>
      <w:szCs w:val="16"/>
    </w:rPr>
  </w:style>
  <w:style w:type="paragraph" w:styleId="CommentText">
    <w:name w:val="annotation text"/>
    <w:basedOn w:val="Normal"/>
    <w:link w:val="CommentTextChar"/>
    <w:uiPriority w:val="99"/>
    <w:semiHidden/>
    <w:unhideWhenUsed/>
    <w:rsid w:val="00D56DFA"/>
    <w:pPr>
      <w:spacing w:line="240" w:lineRule="auto"/>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D56DFA"/>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D56B33"/>
    <w:rPr>
      <w:rFonts w:ascii="Arial" w:hAnsi="Arial" w:cs="Arial"/>
      <w:b/>
      <w:bCs/>
    </w:rPr>
  </w:style>
  <w:style w:type="character" w:customStyle="1" w:styleId="CommentSubjectChar">
    <w:name w:val="Comment Subject Char"/>
    <w:basedOn w:val="CommentTextChar"/>
    <w:link w:val="CommentSubject"/>
    <w:uiPriority w:val="99"/>
    <w:semiHidden/>
    <w:rsid w:val="00D56B33"/>
    <w:rPr>
      <w:rFonts w:asciiTheme="minorHAnsi" w:hAnsiTheme="minorHAnsi" w:cstheme="minorBidi"/>
      <w:b/>
      <w:bCs/>
      <w:sz w:val="20"/>
      <w:szCs w:val="20"/>
    </w:rPr>
  </w:style>
  <w:style w:type="character" w:styleId="FollowedHyperlink">
    <w:name w:val="FollowedHyperlink"/>
    <w:basedOn w:val="DefaultParagraphFont"/>
    <w:uiPriority w:val="99"/>
    <w:semiHidden/>
    <w:unhideWhenUsed/>
    <w:rsid w:val="009C0EDC"/>
    <w:rPr>
      <w:color w:val="800080" w:themeColor="followedHyperlink"/>
      <w:u w:val="single"/>
    </w:rPr>
  </w:style>
  <w:style w:type="character" w:styleId="Strong">
    <w:name w:val="Strong"/>
    <w:basedOn w:val="DefaultParagraphFont"/>
    <w:uiPriority w:val="22"/>
    <w:qFormat/>
    <w:rsid w:val="006D6329"/>
    <w:rPr>
      <w:b/>
      <w:bCs/>
    </w:rPr>
  </w:style>
  <w:style w:type="character" w:customStyle="1" w:styleId="UnresolvedMention">
    <w:name w:val="Unresolved Mention"/>
    <w:basedOn w:val="DefaultParagraphFont"/>
    <w:uiPriority w:val="99"/>
    <w:semiHidden/>
    <w:unhideWhenUsed/>
    <w:rsid w:val="009637D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520862">
      <w:bodyDiv w:val="1"/>
      <w:marLeft w:val="0"/>
      <w:marRight w:val="0"/>
      <w:marTop w:val="0"/>
      <w:marBottom w:val="0"/>
      <w:divBdr>
        <w:top w:val="none" w:sz="0" w:space="0" w:color="auto"/>
        <w:left w:val="none" w:sz="0" w:space="0" w:color="auto"/>
        <w:bottom w:val="none" w:sz="0" w:space="0" w:color="auto"/>
        <w:right w:val="none" w:sz="0" w:space="0" w:color="auto"/>
      </w:divBdr>
    </w:div>
    <w:div w:id="409236216">
      <w:bodyDiv w:val="1"/>
      <w:marLeft w:val="0"/>
      <w:marRight w:val="0"/>
      <w:marTop w:val="0"/>
      <w:marBottom w:val="0"/>
      <w:divBdr>
        <w:top w:val="none" w:sz="0" w:space="0" w:color="auto"/>
        <w:left w:val="none" w:sz="0" w:space="0" w:color="auto"/>
        <w:bottom w:val="none" w:sz="0" w:space="0" w:color="auto"/>
        <w:right w:val="none" w:sz="0" w:space="0" w:color="auto"/>
      </w:divBdr>
    </w:div>
    <w:div w:id="486479240">
      <w:bodyDiv w:val="1"/>
      <w:marLeft w:val="0"/>
      <w:marRight w:val="0"/>
      <w:marTop w:val="0"/>
      <w:marBottom w:val="0"/>
      <w:divBdr>
        <w:top w:val="none" w:sz="0" w:space="0" w:color="auto"/>
        <w:left w:val="none" w:sz="0" w:space="0" w:color="auto"/>
        <w:bottom w:val="none" w:sz="0" w:space="0" w:color="auto"/>
        <w:right w:val="none" w:sz="0" w:space="0" w:color="auto"/>
      </w:divBdr>
    </w:div>
    <w:div w:id="500391198">
      <w:bodyDiv w:val="1"/>
      <w:marLeft w:val="0"/>
      <w:marRight w:val="0"/>
      <w:marTop w:val="0"/>
      <w:marBottom w:val="0"/>
      <w:divBdr>
        <w:top w:val="none" w:sz="0" w:space="0" w:color="auto"/>
        <w:left w:val="none" w:sz="0" w:space="0" w:color="auto"/>
        <w:bottom w:val="none" w:sz="0" w:space="0" w:color="auto"/>
        <w:right w:val="none" w:sz="0" w:space="0" w:color="auto"/>
      </w:divBdr>
    </w:div>
    <w:div w:id="526529049">
      <w:bodyDiv w:val="1"/>
      <w:marLeft w:val="0"/>
      <w:marRight w:val="0"/>
      <w:marTop w:val="0"/>
      <w:marBottom w:val="0"/>
      <w:divBdr>
        <w:top w:val="none" w:sz="0" w:space="0" w:color="auto"/>
        <w:left w:val="none" w:sz="0" w:space="0" w:color="auto"/>
        <w:bottom w:val="none" w:sz="0" w:space="0" w:color="auto"/>
        <w:right w:val="none" w:sz="0" w:space="0" w:color="auto"/>
      </w:divBdr>
    </w:div>
    <w:div w:id="553085734">
      <w:bodyDiv w:val="1"/>
      <w:marLeft w:val="0"/>
      <w:marRight w:val="0"/>
      <w:marTop w:val="0"/>
      <w:marBottom w:val="0"/>
      <w:divBdr>
        <w:top w:val="none" w:sz="0" w:space="0" w:color="auto"/>
        <w:left w:val="none" w:sz="0" w:space="0" w:color="auto"/>
        <w:bottom w:val="none" w:sz="0" w:space="0" w:color="auto"/>
        <w:right w:val="none" w:sz="0" w:space="0" w:color="auto"/>
      </w:divBdr>
    </w:div>
    <w:div w:id="613368760">
      <w:bodyDiv w:val="1"/>
      <w:marLeft w:val="0"/>
      <w:marRight w:val="0"/>
      <w:marTop w:val="0"/>
      <w:marBottom w:val="0"/>
      <w:divBdr>
        <w:top w:val="none" w:sz="0" w:space="0" w:color="auto"/>
        <w:left w:val="none" w:sz="0" w:space="0" w:color="auto"/>
        <w:bottom w:val="none" w:sz="0" w:space="0" w:color="auto"/>
        <w:right w:val="none" w:sz="0" w:space="0" w:color="auto"/>
      </w:divBdr>
    </w:div>
    <w:div w:id="670135691">
      <w:bodyDiv w:val="1"/>
      <w:marLeft w:val="0"/>
      <w:marRight w:val="0"/>
      <w:marTop w:val="0"/>
      <w:marBottom w:val="0"/>
      <w:divBdr>
        <w:top w:val="none" w:sz="0" w:space="0" w:color="auto"/>
        <w:left w:val="none" w:sz="0" w:space="0" w:color="auto"/>
        <w:bottom w:val="none" w:sz="0" w:space="0" w:color="auto"/>
        <w:right w:val="none" w:sz="0" w:space="0" w:color="auto"/>
      </w:divBdr>
    </w:div>
    <w:div w:id="759449797">
      <w:bodyDiv w:val="1"/>
      <w:marLeft w:val="0"/>
      <w:marRight w:val="0"/>
      <w:marTop w:val="0"/>
      <w:marBottom w:val="0"/>
      <w:divBdr>
        <w:top w:val="none" w:sz="0" w:space="0" w:color="auto"/>
        <w:left w:val="none" w:sz="0" w:space="0" w:color="auto"/>
        <w:bottom w:val="none" w:sz="0" w:space="0" w:color="auto"/>
        <w:right w:val="none" w:sz="0" w:space="0" w:color="auto"/>
      </w:divBdr>
    </w:div>
    <w:div w:id="763232937">
      <w:bodyDiv w:val="1"/>
      <w:marLeft w:val="0"/>
      <w:marRight w:val="0"/>
      <w:marTop w:val="0"/>
      <w:marBottom w:val="0"/>
      <w:divBdr>
        <w:top w:val="none" w:sz="0" w:space="0" w:color="auto"/>
        <w:left w:val="none" w:sz="0" w:space="0" w:color="auto"/>
        <w:bottom w:val="none" w:sz="0" w:space="0" w:color="auto"/>
        <w:right w:val="none" w:sz="0" w:space="0" w:color="auto"/>
      </w:divBdr>
    </w:div>
    <w:div w:id="845553888">
      <w:bodyDiv w:val="1"/>
      <w:marLeft w:val="0"/>
      <w:marRight w:val="0"/>
      <w:marTop w:val="0"/>
      <w:marBottom w:val="0"/>
      <w:divBdr>
        <w:top w:val="none" w:sz="0" w:space="0" w:color="auto"/>
        <w:left w:val="none" w:sz="0" w:space="0" w:color="auto"/>
        <w:bottom w:val="none" w:sz="0" w:space="0" w:color="auto"/>
        <w:right w:val="none" w:sz="0" w:space="0" w:color="auto"/>
      </w:divBdr>
    </w:div>
    <w:div w:id="1099132706">
      <w:bodyDiv w:val="1"/>
      <w:marLeft w:val="0"/>
      <w:marRight w:val="0"/>
      <w:marTop w:val="0"/>
      <w:marBottom w:val="0"/>
      <w:divBdr>
        <w:top w:val="none" w:sz="0" w:space="0" w:color="auto"/>
        <w:left w:val="none" w:sz="0" w:space="0" w:color="auto"/>
        <w:bottom w:val="none" w:sz="0" w:space="0" w:color="auto"/>
        <w:right w:val="none" w:sz="0" w:space="0" w:color="auto"/>
      </w:divBdr>
    </w:div>
    <w:div w:id="1480809896">
      <w:bodyDiv w:val="1"/>
      <w:marLeft w:val="0"/>
      <w:marRight w:val="0"/>
      <w:marTop w:val="0"/>
      <w:marBottom w:val="0"/>
      <w:divBdr>
        <w:top w:val="none" w:sz="0" w:space="0" w:color="auto"/>
        <w:left w:val="none" w:sz="0" w:space="0" w:color="auto"/>
        <w:bottom w:val="none" w:sz="0" w:space="0" w:color="auto"/>
        <w:right w:val="none" w:sz="0" w:space="0" w:color="auto"/>
      </w:divBdr>
    </w:div>
    <w:div w:id="1509322500">
      <w:bodyDiv w:val="1"/>
      <w:marLeft w:val="0"/>
      <w:marRight w:val="0"/>
      <w:marTop w:val="0"/>
      <w:marBottom w:val="0"/>
      <w:divBdr>
        <w:top w:val="none" w:sz="0" w:space="0" w:color="auto"/>
        <w:left w:val="none" w:sz="0" w:space="0" w:color="auto"/>
        <w:bottom w:val="none" w:sz="0" w:space="0" w:color="auto"/>
        <w:right w:val="none" w:sz="0" w:space="0" w:color="auto"/>
      </w:divBdr>
    </w:div>
    <w:div w:id="1735733372">
      <w:bodyDiv w:val="1"/>
      <w:marLeft w:val="0"/>
      <w:marRight w:val="0"/>
      <w:marTop w:val="0"/>
      <w:marBottom w:val="0"/>
      <w:divBdr>
        <w:top w:val="none" w:sz="0" w:space="0" w:color="auto"/>
        <w:left w:val="none" w:sz="0" w:space="0" w:color="auto"/>
        <w:bottom w:val="none" w:sz="0" w:space="0" w:color="auto"/>
        <w:right w:val="none" w:sz="0" w:space="0" w:color="auto"/>
      </w:divBdr>
    </w:div>
    <w:div w:id="1813139340">
      <w:bodyDiv w:val="1"/>
      <w:marLeft w:val="0"/>
      <w:marRight w:val="0"/>
      <w:marTop w:val="0"/>
      <w:marBottom w:val="0"/>
      <w:divBdr>
        <w:top w:val="none" w:sz="0" w:space="0" w:color="auto"/>
        <w:left w:val="none" w:sz="0" w:space="0" w:color="auto"/>
        <w:bottom w:val="none" w:sz="0" w:space="0" w:color="auto"/>
        <w:right w:val="none" w:sz="0" w:space="0" w:color="auto"/>
      </w:divBdr>
    </w:div>
    <w:div w:id="1814634534">
      <w:bodyDiv w:val="1"/>
      <w:marLeft w:val="0"/>
      <w:marRight w:val="0"/>
      <w:marTop w:val="0"/>
      <w:marBottom w:val="0"/>
      <w:divBdr>
        <w:top w:val="none" w:sz="0" w:space="0" w:color="auto"/>
        <w:left w:val="none" w:sz="0" w:space="0" w:color="auto"/>
        <w:bottom w:val="none" w:sz="0" w:space="0" w:color="auto"/>
        <w:right w:val="none" w:sz="0" w:space="0" w:color="auto"/>
      </w:divBdr>
    </w:div>
    <w:div w:id="1877768611">
      <w:bodyDiv w:val="1"/>
      <w:marLeft w:val="0"/>
      <w:marRight w:val="0"/>
      <w:marTop w:val="0"/>
      <w:marBottom w:val="0"/>
      <w:divBdr>
        <w:top w:val="none" w:sz="0" w:space="0" w:color="auto"/>
        <w:left w:val="none" w:sz="0" w:space="0" w:color="auto"/>
        <w:bottom w:val="none" w:sz="0" w:space="0" w:color="auto"/>
        <w:right w:val="none" w:sz="0" w:space="0" w:color="auto"/>
      </w:divBdr>
    </w:div>
    <w:div w:id="1941914764">
      <w:bodyDiv w:val="1"/>
      <w:marLeft w:val="0"/>
      <w:marRight w:val="0"/>
      <w:marTop w:val="0"/>
      <w:marBottom w:val="0"/>
      <w:divBdr>
        <w:top w:val="none" w:sz="0" w:space="0" w:color="auto"/>
        <w:left w:val="none" w:sz="0" w:space="0" w:color="auto"/>
        <w:bottom w:val="none" w:sz="0" w:space="0" w:color="auto"/>
        <w:right w:val="none" w:sz="0" w:space="0" w:color="auto"/>
      </w:divBdr>
    </w:div>
    <w:div w:id="201818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dp.ne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dp.net/en/articles/media/press-release-investors-rank-cdp-number-one-in-climate-change-research-for-second-year-runni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dp.net/en/research/global-reports/tracking-climate-progress-2017"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cdp.net/en/scores-201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dp.net/en/guidance/guidance-for-companie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cdp.net" TargetMode="External"/><Relationship Id="rId1" Type="http://schemas.openxmlformats.org/officeDocument/2006/relationships/hyperlink" Target="https://twitter.com/CDP"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e2944c4-8704-44b2-b427-0e1663491450">
      <UserInfo>
        <DisplayName>Kristen Mierzejewski</DisplayName>
        <AccountId>840</AccountId>
        <AccountType/>
      </UserInfo>
      <UserInfo>
        <DisplayName>Tegan Tallullah</DisplayName>
        <AccountId>921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726EF31ED0E948A5684B7E617CF541" ma:contentTypeVersion="9" ma:contentTypeDescription="Create a new document." ma:contentTypeScope="" ma:versionID="dc4f4301534cc69c380553bc9afe47af">
  <xsd:schema xmlns:xsd="http://www.w3.org/2001/XMLSchema" xmlns:xs="http://www.w3.org/2001/XMLSchema" xmlns:p="http://schemas.microsoft.com/office/2006/metadata/properties" xmlns:ns2="7e2944c4-8704-44b2-b427-0e1663491450" xmlns:ns3="d2a0a3f3-c46d-46ed-94a2-75f75719c531" targetNamespace="http://schemas.microsoft.com/office/2006/metadata/properties" ma:root="true" ma:fieldsID="eee1bf7f8e3e5d6394e3ae60bac478a0" ns2:_="" ns3:_="">
    <xsd:import namespace="7e2944c4-8704-44b2-b427-0e1663491450"/>
    <xsd:import namespace="d2a0a3f3-c46d-46ed-94a2-75f75719c531"/>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2944c4-8704-44b2-b427-0e166349145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2a0a3f3-c46d-46ed-94a2-75f75719c53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FBF4C8-5603-4B04-8F80-C4D7FD9E6C5E}">
  <ds:schemaRefs>
    <ds:schemaRef ds:uri="http://schemas.microsoft.com/sharepoint/v3/contenttype/forms"/>
  </ds:schemaRefs>
</ds:datastoreItem>
</file>

<file path=customXml/itemProps2.xml><?xml version="1.0" encoding="utf-8"?>
<ds:datastoreItem xmlns:ds="http://schemas.openxmlformats.org/officeDocument/2006/customXml" ds:itemID="{A056A966-4719-47C4-876B-2437BF115B4C}">
  <ds:schemaRefs>
    <ds:schemaRef ds:uri="http://schemas.microsoft.com/office/2006/metadata/properties"/>
    <ds:schemaRef ds:uri="http://schemas.microsoft.com/office/infopath/2007/PartnerControls"/>
    <ds:schemaRef ds:uri="7e2944c4-8704-44b2-b427-0e1663491450"/>
  </ds:schemaRefs>
</ds:datastoreItem>
</file>

<file path=customXml/itemProps3.xml><?xml version="1.0" encoding="utf-8"?>
<ds:datastoreItem xmlns:ds="http://schemas.openxmlformats.org/officeDocument/2006/customXml" ds:itemID="{0362E70C-CEA2-4FE3-84C8-B0AEB42F3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2944c4-8704-44b2-b427-0e1663491450"/>
    <ds:schemaRef ds:uri="d2a0a3f3-c46d-46ed-94a2-75f75719c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878</Words>
  <Characters>5009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MCSP</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Benjamin Norsworthy</dc:creator>
  <cp:lastModifiedBy>Seher Türkpençe</cp:lastModifiedBy>
  <cp:revision>4</cp:revision>
  <dcterms:created xsi:type="dcterms:W3CDTF">2017-10-24T13:20:00Z</dcterms:created>
  <dcterms:modified xsi:type="dcterms:W3CDTF">2017-10-24T13:40:00Z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0x010100A1726EF31ED0E948A5684B7E617CF541</vt:lpwstr>
  </property>
  <property fmtid="{D5CDD505-2E9C-101B-9397-08002B2CF9AE}" pid="3" name="MSIP_Label_18de4db4-e00d-47c3-9d58-42953a01c92d_Enabled">
    <vt:lpwstr>True</vt:lpwstr>
  </property>
  <property fmtid="{D5CDD505-2E9C-101B-9397-08002B2CF9AE}" pid="4" name="MSIP_Label_18de4db4-e00d-47c3-9d58-42953a01c92d_SiteId">
    <vt:lpwstr>ef5926db-9bdf-4f9f-9066-d8e7f03943f7</vt:lpwstr>
  </property>
  <property fmtid="{D5CDD505-2E9C-101B-9397-08002B2CF9AE}" pid="5" name="MSIP_Label_18de4db4-e00d-47c3-9d58-42953a01c92d_Ref">
    <vt:lpwstr>https://api.informationprotection.azure.com/api/ef5926db-9bdf-4f9f-9066-d8e7f03943f7</vt:lpwstr>
  </property>
  <property fmtid="{D5CDD505-2E9C-101B-9397-08002B2CF9AE}" pid="6" name="MSIP_Label_18de4db4-e00d-47c3-9d58-42953a01c92d_SetBy">
    <vt:lpwstr>AR810331@arcelik.com</vt:lpwstr>
  </property>
  <property fmtid="{D5CDD505-2E9C-101B-9397-08002B2CF9AE}" pid="7" name="MSIP_Label_18de4db4-e00d-47c3-9d58-42953a01c92d_SetDate">
    <vt:lpwstr>2017-10-13T11:52:35.4698337+03:00</vt:lpwstr>
  </property>
  <property fmtid="{D5CDD505-2E9C-101B-9397-08002B2CF9AE}" pid="8" name="MSIP_Label_18de4db4-e00d-47c3-9d58-42953a01c92d_Name">
    <vt:lpwstr>Public</vt:lpwstr>
  </property>
  <property fmtid="{D5CDD505-2E9C-101B-9397-08002B2CF9AE}" pid="9" name="MSIP_Label_18de4db4-e00d-47c3-9d58-42953a01c92d_Application">
    <vt:lpwstr>Microsoft Azure Information Protection</vt:lpwstr>
  </property>
  <property fmtid="{D5CDD505-2E9C-101B-9397-08002B2CF9AE}" pid="10" name="MSIP_Label_18de4db4-e00d-47c3-9d58-42953a01c92d_Extended_MSFT_Method">
    <vt:lpwstr>Automatic</vt:lpwstr>
  </property>
  <property fmtid="{D5CDD505-2E9C-101B-9397-08002B2CF9AE}" pid="11" name="Sensitivity">
    <vt:lpwstr>Public</vt:lpwstr>
  </property>
</Properties>
</file>